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olor w:val="000000"/>
          <w:sz w:val="44"/>
          <w:szCs w:val="32"/>
        </w:rPr>
      </w:pPr>
      <w:bookmarkStart w:id="4" w:name="_GoBack"/>
      <w:bookmarkEnd w:id="4"/>
      <w:r>
        <w:rPr>
          <w:rFonts w:hint="eastAsia" w:ascii="方正小标宋简体" w:hAnsi="宋体" w:eastAsia="方正小标宋简体"/>
          <w:color w:val="000000"/>
          <w:sz w:val="44"/>
          <w:szCs w:val="32"/>
        </w:rPr>
        <w:t>团体标准《广西柠檬鸭炒制技术规程》（征求意见稿）编制说明</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一、项目来源</w:t>
      </w:r>
    </w:p>
    <w:p>
      <w:pPr>
        <w:ind w:firstLine="640" w:firstLineChars="200"/>
        <w:rPr>
          <w:rFonts w:ascii="仿宋_GB2312" w:hAnsi="宋体" w:eastAsia="仿宋_GB2312"/>
          <w:sz w:val="32"/>
          <w:szCs w:val="28"/>
        </w:rPr>
      </w:pPr>
      <w:r>
        <w:rPr>
          <w:rFonts w:hint="eastAsia" w:ascii="仿宋_GB2312" w:hAnsi="宋体" w:eastAsia="仿宋_GB2312"/>
          <w:sz w:val="32"/>
          <w:szCs w:val="28"/>
        </w:rPr>
        <w:t>根据《广西标准化协会关于下达202</w:t>
      </w:r>
      <w:r>
        <w:rPr>
          <w:rFonts w:ascii="仿宋_GB2312" w:hAnsi="宋体" w:eastAsia="仿宋_GB2312"/>
          <w:sz w:val="32"/>
          <w:szCs w:val="28"/>
        </w:rPr>
        <w:t>4</w:t>
      </w:r>
      <w:r>
        <w:rPr>
          <w:rFonts w:hint="eastAsia" w:ascii="仿宋_GB2312" w:hAnsi="宋体" w:eastAsia="仿宋_GB2312"/>
          <w:sz w:val="32"/>
          <w:szCs w:val="28"/>
        </w:rPr>
        <w:t>年一批团体标准制修订项目计划的通知》（桂标协〔202</w:t>
      </w:r>
      <w:r>
        <w:rPr>
          <w:rFonts w:ascii="仿宋_GB2312" w:hAnsi="宋体" w:eastAsia="仿宋_GB2312"/>
          <w:sz w:val="32"/>
          <w:szCs w:val="28"/>
        </w:rPr>
        <w:t>4</w:t>
      </w:r>
      <w:r>
        <w:rPr>
          <w:rFonts w:hint="eastAsia" w:ascii="仿宋_GB2312" w:hAnsi="宋体" w:eastAsia="仿宋_GB2312"/>
          <w:sz w:val="32"/>
          <w:szCs w:val="28"/>
        </w:rPr>
        <w:t>〕</w:t>
      </w:r>
      <w:r>
        <w:rPr>
          <w:rFonts w:ascii="仿宋_GB2312" w:hAnsi="宋体" w:eastAsia="仿宋_GB2312"/>
          <w:sz w:val="32"/>
          <w:szCs w:val="28"/>
        </w:rPr>
        <w:t>8</w:t>
      </w:r>
      <w:r>
        <w:rPr>
          <w:rFonts w:hint="eastAsia" w:ascii="仿宋_GB2312" w:hAnsi="宋体" w:eastAsia="仿宋_GB2312"/>
          <w:sz w:val="32"/>
          <w:szCs w:val="28"/>
        </w:rPr>
        <w:t>号）文件精神，由广西烹饪餐饮行业协会提出，南宁市兴宁区甘家界牌柠檬鸭餐饮店、广西烹饪餐饮行业协会、广西标准化协会、广西甘家食品有限公司、广西甘家源餐饮管理有限公司、南宁市西乡塘区甘保辉柠檬鸭餐饮店、南宁鸿辉餐饮管理有限公司、南宁市甘家界牌柠檬鸭饭店春晖店、南宁市甘家界牌柠檬鸭饭店、南宁市宏锦亭餐厅、广西老甘家餐饮管理有限公司、广西标辉供应链管理有限公司、南宁市开台吃饭餐饮有限公司、广西甘家界餐饮管理有限公司南宁凤岭分公司、广西丫丫厨娘餐饮管理有限公司、南宁市甘家界牌柠檬鸭青山店、广西丫丫厨娘餐饮管理有限公司南宁青山分公司、广西丫丫厨娘餐饮管理有限公司西关店、广西丫丫厨娘餐饮管理有限公司安吉万达店、广西丫丫顺餐饮管理有限公司、广西丫丫姐餐饮管理有限公司、广西丫丫顺餐饮管理有限公司南宁分公司、南宁市满园春农业投资有限公司、广西华兴食品集团有限公司、广西厚膳食品有限公司、南宁博大高科计算有限公司、南宁博大全讯科技有限公司、广西博大胜任信息技术有限公司、广西桂乡语贸易有限公司、广西高瓴投资有限公司、南宁市灵探计算机技术服务工作室、广西老表记餐饮管理有限公司等</w:t>
      </w:r>
      <w:r>
        <w:rPr>
          <w:rFonts w:ascii="仿宋_GB2312" w:hAnsi="宋体" w:eastAsia="仿宋_GB2312"/>
          <w:sz w:val="32"/>
          <w:szCs w:val="28"/>
        </w:rPr>
        <w:t>单位</w:t>
      </w:r>
      <w:r>
        <w:rPr>
          <w:rFonts w:hint="eastAsia" w:ascii="仿宋_GB2312" w:hAnsi="宋体" w:eastAsia="仿宋_GB2312"/>
          <w:sz w:val="32"/>
          <w:szCs w:val="28"/>
        </w:rPr>
        <w:t>共同起草的团体标准《广西柠檬鸭炒制技术规程》（项目编号：202</w:t>
      </w:r>
      <w:r>
        <w:rPr>
          <w:rFonts w:ascii="仿宋_GB2312" w:hAnsi="宋体" w:eastAsia="仿宋_GB2312"/>
          <w:sz w:val="32"/>
          <w:szCs w:val="28"/>
        </w:rPr>
        <w:t>3</w:t>
      </w:r>
      <w:r>
        <w:rPr>
          <w:rFonts w:hint="eastAsia" w:ascii="仿宋_GB2312" w:hAnsi="宋体" w:eastAsia="仿宋_GB2312"/>
          <w:sz w:val="32"/>
          <w:szCs w:val="28"/>
        </w:rPr>
        <w:t>-</w:t>
      </w:r>
      <w:r>
        <w:rPr>
          <w:rFonts w:ascii="仿宋_GB2312" w:hAnsi="宋体" w:eastAsia="仿宋_GB2312"/>
          <w:sz w:val="32"/>
          <w:szCs w:val="28"/>
        </w:rPr>
        <w:t>0101</w:t>
      </w:r>
      <w:r>
        <w:rPr>
          <w:rFonts w:hint="eastAsia" w:ascii="仿宋_GB2312" w:hAnsi="宋体" w:eastAsia="仿宋_GB2312"/>
          <w:sz w:val="32"/>
          <w:szCs w:val="28"/>
        </w:rPr>
        <w:t>）已获批立项。</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二、项目背景及目的意义</w:t>
      </w:r>
    </w:p>
    <w:p>
      <w:pPr>
        <w:autoSpaceDE w:val="0"/>
        <w:autoSpaceDN w:val="0"/>
        <w:adjustRightInd w:val="0"/>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鸭入馔有数千年的历史，自古就有鸭香鸡鲜之说。鸭的营养价值十分丰富，据明代李时珍《本草纲目》记载：鸭肉与鸽肉、燕窝一样，是补精气的至平之物，这说明鸭的利用价值非常高。柠檬鸭是一道中国的传统烹饪菜品，深受中国人民的喜爱。它以鲜嫩的鸭肉为主料，搭配柠檬的酸味和香料的调味，口感鲜美，酸甜可口。柠檬鸭的制作背景可以追溯到古代中国的烹饪文化。例如，福建柠檬鸭是福建地区的传统名菜，其制作工艺更为精细，口味更为独特。柠檬鸭也常和其他地方特色菜品搭配，形成更具地方特色的饮食文化。此外，在现代社会，随着人们对健康、营养和口味的要求越来越高，柠檬鸭的制作也得到了创新和改进，例如采用低脂肪、低盐等健康元素，满足不同人群的需求。</w:t>
      </w:r>
    </w:p>
    <w:p>
      <w:pPr>
        <w:autoSpaceDE w:val="0"/>
        <w:autoSpaceDN w:val="0"/>
        <w:adjustRightInd w:val="0"/>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广西柠檬鸭是中国广西地区的传统特色菜品，深受当地人民和游客的喜爱。广西是一个位于中国西南部的省级自治区，拥有丰富的自然资源和多样化的地理环境。柠檬作为一种常见的水果，广西拥有得天独厚的气候条件和土壤环境，产出的柠檬酸味浓郁、香气扑鼻。鸭肉则是广西地区常见的优质肉类，鸭肉肉质鲜嫩，口感丰富，非常适合与柠檬一同烹饪。在广西地区，柠檬被视为吉祥物和象征物，被广泛应用于民间食品和药物制作中。柠檬鸭作为当地一道传统的烹饪菜品，常常在节庆、宴请、家庭聚餐等场合出现。它不仅仅是一道美食，更是一种传递着当地人民的乡土情怀和文化特色的菜品。总体而言，广西柠檬鸭作为广西地区烹饪文化的重要代表，以当地的自然资源和民俗文化为基础，经过独特的制作工艺和调味方法，给人们带来了酸甜可口、独具特色的美味享受。它不仅展示了广西丰富多样的地域文化，也成为广西饮食文化不可或缺的一部分。</w:t>
      </w:r>
    </w:p>
    <w:p>
      <w:pPr>
        <w:autoSpaceDE w:val="0"/>
        <w:autoSpaceDN w:val="0"/>
        <w:adjustRightInd w:val="0"/>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上世纪70年代末，甘家界牌柠檬鸭的创始人甘老先生在大山深处风景秀丽的高峰林场边搭了一间茅草屋,架起了炉灶,招呼来往司机休息就餐。随着生意越来越兴隆,采纳来往各地食客的建议,甘老先生凭着自己的悟性,用农家人特有的材料和炒作方法，终于打出了名扬四海的“甘家界牌柠檬鸭”的牌子，并成功的注册商标。“生炒柠檬鸭”单独以一道菜撑起一家门店,连续售卖40多年热度不减,被广大老饕亲切地称为"南宁特色餐饮名片”。最负盛名的“甘家界柠檬鸭”,这个从山区走出来的品牌经过40多年的发展,如今已发展至9家分店和1家食品公司,据统计，“甘家界柠檬鸭”每天能卖掉3000多斤鸭子。</w:t>
      </w:r>
    </w:p>
    <w:p>
      <w:pPr>
        <w:autoSpaceDE w:val="0"/>
        <w:autoSpaceDN w:val="0"/>
        <w:adjustRightInd w:val="0"/>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通过制定团体标准《广西柠檬鸭炒制技术规程》，以标准为抓手,为广西柠檬鸭的生产制作提供科学、规范的标准指导,统一规范广西柠檬鸭炒制的原辅料和工艺技术。对提升广西柠檬鸭品牌效益，促进柠檬鸭产业化、市场化、效益化发展，助推广西美食产业高质量发展具有重要意义。</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三、项目编制过程</w:t>
      </w:r>
    </w:p>
    <w:p>
      <w:pPr>
        <w:spacing w:before="156" w:beforeLines="50" w:after="156" w:afterLines="50" w:line="560" w:lineRule="exact"/>
        <w:ind w:firstLine="643" w:firstLineChars="200"/>
        <w:rPr>
          <w:rFonts w:ascii="楷体" w:hAnsi="楷体" w:eastAsia="楷体"/>
          <w:sz w:val="32"/>
          <w:szCs w:val="28"/>
        </w:rPr>
      </w:pPr>
      <w:r>
        <w:rPr>
          <w:rFonts w:hint="eastAsia" w:ascii="楷体" w:hAnsi="楷体" w:eastAsia="楷体" w:cs="仿宋_GB2312"/>
          <w:b/>
          <w:sz w:val="32"/>
          <w:szCs w:val="28"/>
        </w:rPr>
        <w:t>（一）成立标准编制工作组</w:t>
      </w:r>
    </w:p>
    <w:p>
      <w:pPr>
        <w:ind w:firstLine="640" w:firstLineChars="200"/>
        <w:rPr>
          <w:rFonts w:ascii="仿宋_GB2312" w:hAnsi="宋体" w:eastAsia="仿宋_GB2312"/>
          <w:sz w:val="32"/>
          <w:szCs w:val="28"/>
        </w:rPr>
      </w:pPr>
      <w:r>
        <w:rPr>
          <w:rFonts w:hint="eastAsia" w:ascii="仿宋_GB2312" w:hAnsi="宋体" w:eastAsia="仿宋_GB2312"/>
          <w:sz w:val="32"/>
          <w:szCs w:val="28"/>
        </w:rPr>
        <w:t>团体标准《广西柠檬鸭炒制技术规程》项目任务下达后，南宁市兴宁区甘家界牌柠檬鸭餐饮店成立了标准编制工作组，起草单位制定了起草编写方案与进度安排，明确任务职责，确定工作技术路线，开展标准研制工作。具体标准编制工作由、广西烹饪餐饮行业协会、广西标准化协会、广西甘家食品有限公司、广西甘家源餐饮管理有限公司、南宁市西乡塘区甘保辉柠檬鸭餐饮店、南宁鸿辉餐饮管理有限公司等单位负责人组成的标准编制工作组完成。</w:t>
      </w:r>
    </w:p>
    <w:p>
      <w:pPr>
        <w:ind w:firstLine="640" w:firstLineChars="200"/>
        <w:rPr>
          <w:rFonts w:ascii="仿宋_GB2312" w:hAnsi="宋体" w:eastAsia="仿宋_GB2312"/>
          <w:sz w:val="32"/>
          <w:szCs w:val="28"/>
        </w:rPr>
      </w:pPr>
      <w:r>
        <w:rPr>
          <w:rFonts w:hint="eastAsia" w:ascii="仿宋_GB2312" w:hAnsi="宋体" w:eastAsia="仿宋_GB2312"/>
          <w:sz w:val="32"/>
          <w:szCs w:val="28"/>
        </w:rPr>
        <w:t>编制工作组下设三个组，分别是资料收集组、草案编写组、标准实施组。</w:t>
      </w:r>
    </w:p>
    <w:p>
      <w:pPr>
        <w:ind w:firstLine="640" w:firstLineChars="200"/>
        <w:rPr>
          <w:rFonts w:ascii="仿宋_GB2312" w:hAnsi="宋体" w:eastAsia="仿宋_GB2312"/>
          <w:sz w:val="32"/>
          <w:szCs w:val="28"/>
        </w:rPr>
      </w:pPr>
      <w:r>
        <w:rPr>
          <w:rFonts w:hint="eastAsia" w:ascii="仿宋_GB2312" w:hAnsi="宋体" w:eastAsia="仿宋_GB2312"/>
          <w:sz w:val="32"/>
          <w:szCs w:val="28"/>
        </w:rPr>
        <w:t>资料收集组负责国内外有关广西柠檬鸭炒制技术的文献资料的查询、收集和整理工作，查阅前人对广西柠檬鸭炒制技术的研究情况。</w:t>
      </w:r>
    </w:p>
    <w:p>
      <w:pPr>
        <w:ind w:firstLine="640" w:firstLineChars="200"/>
        <w:rPr>
          <w:rFonts w:ascii="仿宋_GB2312" w:hAnsi="宋体" w:eastAsia="仿宋_GB2312"/>
          <w:sz w:val="32"/>
          <w:szCs w:val="28"/>
        </w:rPr>
      </w:pPr>
      <w:r>
        <w:rPr>
          <w:rFonts w:hint="eastAsia" w:ascii="仿宋_GB2312" w:hAnsi="宋体" w:eastAsia="仿宋_GB2312"/>
          <w:sz w:val="32"/>
          <w:szCs w:val="28"/>
        </w:rPr>
        <w:t>草案编写组负责起草标准草案、征求意见稿和标准编制说明、送审稿及编制说明的编写工作，包括后期召开征求意见会、网上征求意见，以及标准的不断修改和完善。</w:t>
      </w:r>
    </w:p>
    <w:p>
      <w:pPr>
        <w:ind w:firstLine="640" w:firstLineChars="200"/>
        <w:rPr>
          <w:rFonts w:ascii="仿宋_GB2312" w:hAnsi="宋体" w:eastAsia="仿宋_GB2312"/>
          <w:sz w:val="32"/>
          <w:szCs w:val="28"/>
        </w:rPr>
      </w:pPr>
      <w:r>
        <w:rPr>
          <w:rFonts w:hint="eastAsia" w:ascii="仿宋_GB2312" w:hAnsi="宋体" w:eastAsia="仿宋_GB2312"/>
          <w:sz w:val="32"/>
          <w:szCs w:val="28"/>
        </w:rPr>
        <w:t>标准实施组负责团体标准《广西柠檬鸭炒制技术规程》发布后，组织相关企事业单位开展标准宣贯培训会，对标准进行详细解读，让相关人员了解标准，并根据标准对广西柠檬鸭炒制技术进行规范化操作，并对标准实施情况进行总结分析，不断对团体标准提出修正意见。</w:t>
      </w:r>
    </w:p>
    <w:p>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（二）收集整理文献资料</w:t>
      </w:r>
    </w:p>
    <w:p>
      <w:pPr>
        <w:ind w:firstLine="640" w:firstLineChars="200"/>
        <w:rPr>
          <w:rFonts w:ascii="仿宋_GB2312" w:hAnsi="宋体" w:eastAsia="仿宋_GB2312"/>
          <w:sz w:val="32"/>
          <w:szCs w:val="28"/>
          <w:lang w:val="fr-FR"/>
        </w:rPr>
      </w:pPr>
      <w:r>
        <w:rPr>
          <w:rFonts w:hint="eastAsia" w:ascii="仿宋_GB2312" w:hAnsi="宋体" w:eastAsia="仿宋_GB2312"/>
          <w:sz w:val="32"/>
          <w:szCs w:val="28"/>
        </w:rPr>
        <w:t>标准编制工作组收集了国内有关广西柠檬鸭炒制技术相关文献资料。主要有</w:t>
      </w:r>
      <w:r>
        <w:rPr>
          <w:rFonts w:hint="eastAsia" w:ascii="仿宋_GB2312" w:hAnsi="宋体" w:eastAsia="仿宋_GB2312"/>
          <w:sz w:val="32"/>
          <w:szCs w:val="28"/>
          <w:lang w:val="fr-FR"/>
        </w:rPr>
        <w:t>：</w:t>
      </w:r>
    </w:p>
    <w:p>
      <w:pPr>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DBS45 056—2018 食品安全地方标准 柠檬鸭。</w:t>
      </w:r>
    </w:p>
    <w:p>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（三）研讨确定标准主体内容</w:t>
      </w:r>
    </w:p>
    <w:p>
      <w:pPr>
        <w:ind w:firstLine="640" w:firstLineChars="200"/>
        <w:rPr>
          <w:rFonts w:ascii="仿宋_GB2312" w:hAnsi="宋体" w:eastAsia="仿宋_GB2312"/>
          <w:sz w:val="32"/>
          <w:szCs w:val="28"/>
        </w:rPr>
      </w:pPr>
      <w:r>
        <w:rPr>
          <w:rFonts w:hint="eastAsia" w:ascii="仿宋_GB2312" w:hAnsi="宋体" w:eastAsia="仿宋_GB2312"/>
          <w:sz w:val="32"/>
          <w:szCs w:val="28"/>
        </w:rPr>
        <w:t>标准编制工作组在对收集的资料进行整理研究之后，202</w:t>
      </w:r>
      <w:r>
        <w:rPr>
          <w:rFonts w:ascii="仿宋_GB2312" w:hAnsi="宋体" w:eastAsia="仿宋_GB2312"/>
          <w:sz w:val="32"/>
          <w:szCs w:val="28"/>
        </w:rPr>
        <w:t>4</w:t>
      </w:r>
      <w:r>
        <w:rPr>
          <w:rFonts w:hint="eastAsia" w:ascii="仿宋_GB2312" w:hAnsi="宋体" w:eastAsia="仿宋_GB2312"/>
          <w:sz w:val="32"/>
          <w:szCs w:val="28"/>
        </w:rPr>
        <w:t>年</w:t>
      </w:r>
      <w:r>
        <w:rPr>
          <w:rFonts w:ascii="仿宋_GB2312" w:hAnsi="宋体" w:eastAsia="仿宋_GB2312"/>
          <w:sz w:val="32"/>
          <w:szCs w:val="28"/>
        </w:rPr>
        <w:t>1</w:t>
      </w:r>
      <w:r>
        <w:rPr>
          <w:rFonts w:hint="eastAsia" w:ascii="仿宋_GB2312" w:hAnsi="宋体" w:eastAsia="仿宋_GB2312"/>
          <w:sz w:val="32"/>
          <w:szCs w:val="28"/>
        </w:rPr>
        <w:t>月，标准编制工作组召开了标准编制会议，对标准的整体框架结构进行了研究，并对标准的关键性内容进行了初步探讨。经过研究，标准的主体内容确定为术语和定义、炒制工艺、</w:t>
      </w:r>
      <w:r>
        <w:rPr>
          <w:rFonts w:ascii="仿宋_GB2312" w:hAnsi="宋体" w:eastAsia="仿宋_GB2312"/>
          <w:sz w:val="32"/>
          <w:szCs w:val="28"/>
        </w:rPr>
        <w:t>成品感官、档案</w:t>
      </w:r>
      <w:r>
        <w:rPr>
          <w:rFonts w:hint="eastAsia" w:ascii="仿宋_GB2312" w:hAnsi="宋体" w:eastAsia="仿宋_GB2312"/>
          <w:sz w:val="32"/>
          <w:szCs w:val="28"/>
        </w:rPr>
        <w:t>记录。</w:t>
      </w:r>
    </w:p>
    <w:p>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（四）调研及形成草案、征求意见稿</w:t>
      </w:r>
    </w:p>
    <w:p>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ascii="仿宋_GB2312" w:hAnsi="宋体" w:eastAsia="仿宋_GB2312"/>
          <w:sz w:val="32"/>
          <w:szCs w:val="28"/>
        </w:rPr>
        <w:t>1</w:t>
      </w:r>
      <w:r>
        <w:rPr>
          <w:rFonts w:hint="eastAsia" w:ascii="仿宋_GB2312" w:hAnsi="宋体" w:eastAsia="仿宋_GB2312"/>
          <w:sz w:val="32"/>
          <w:szCs w:val="28"/>
        </w:rPr>
        <w:t>月，标准起草工作小组进行了广泛调研工作，查阅了大量的国内外文献资料，对广西柠檬鸭炒制技术的前人研究成果进行系统总结。形成了标准的基本构架，对主要内容进行了讨论并对项目的工作进行了部署和安排。</w:t>
      </w:r>
    </w:p>
    <w:p>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ascii="仿宋_GB2312" w:hAnsi="宋体" w:eastAsia="仿宋_GB2312"/>
          <w:sz w:val="32"/>
          <w:szCs w:val="28"/>
        </w:rPr>
        <w:t>2</w:t>
      </w:r>
      <w:r>
        <w:rPr>
          <w:rFonts w:hint="eastAsia" w:ascii="仿宋_GB2312" w:hAnsi="宋体" w:eastAsia="仿宋_GB2312"/>
          <w:sz w:val="32"/>
          <w:szCs w:val="28"/>
        </w:rPr>
        <w:t>月，在前期工作的基础之上，通过理清逻辑脉络，整合已有的参考资料中有关广西柠檬鸭炒制技术要求，并结合广西柠檬鸭炒制技术实际要求的基础上，按照简化、统一等原则编制完成团体标准《广西柠檬鸭炒制技术规程》（草案）。</w:t>
      </w:r>
    </w:p>
    <w:p>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3</w:t>
      </w:r>
      <w:r>
        <w:rPr>
          <w:rFonts w:hint="eastAsia" w:ascii="仿宋_GB2312" w:hAnsi="宋体" w:eastAsia="仿宋_GB2312"/>
          <w:sz w:val="32"/>
          <w:szCs w:val="28"/>
        </w:rPr>
        <w:t>年</w:t>
      </w:r>
      <w:r>
        <w:rPr>
          <w:rFonts w:ascii="仿宋_GB2312" w:hAnsi="宋体" w:eastAsia="仿宋_GB2312"/>
          <w:sz w:val="32"/>
          <w:szCs w:val="28"/>
        </w:rPr>
        <w:t>3</w:t>
      </w:r>
      <w:r>
        <w:rPr>
          <w:rFonts w:hint="eastAsia" w:ascii="仿宋_GB2312" w:hAnsi="宋体" w:eastAsia="仿宋_GB2312"/>
          <w:sz w:val="32"/>
          <w:szCs w:val="28"/>
        </w:rPr>
        <w:t>月-</w:t>
      </w:r>
      <w:r>
        <w:rPr>
          <w:rFonts w:ascii="仿宋_GB2312" w:hAnsi="宋体" w:eastAsia="仿宋_GB2312"/>
          <w:sz w:val="32"/>
          <w:szCs w:val="28"/>
        </w:rPr>
        <w:t>4</w:t>
      </w:r>
      <w:r>
        <w:rPr>
          <w:rFonts w:hint="eastAsia" w:ascii="仿宋_GB2312" w:hAnsi="宋体" w:eastAsia="仿宋_GB2312"/>
          <w:sz w:val="32"/>
          <w:szCs w:val="28"/>
        </w:rPr>
        <w:t>月，标准起草工作组到</w:t>
      </w:r>
      <w:r>
        <w:rPr>
          <w:rFonts w:ascii="仿宋_GB2312" w:hAnsi="宋体" w:eastAsia="仿宋_GB2312"/>
          <w:sz w:val="32"/>
          <w:szCs w:val="28"/>
        </w:rPr>
        <w:t>相关</w:t>
      </w:r>
      <w:r>
        <w:rPr>
          <w:rFonts w:hint="eastAsia" w:ascii="仿宋_GB2312" w:hAnsi="宋体" w:eastAsia="仿宋_GB2312"/>
          <w:sz w:val="32"/>
          <w:szCs w:val="28"/>
        </w:rPr>
        <w:t>餐饮企业</w:t>
      </w:r>
      <w:r>
        <w:rPr>
          <w:rFonts w:ascii="仿宋_GB2312" w:hAnsi="宋体" w:eastAsia="仿宋_GB2312"/>
          <w:sz w:val="32"/>
          <w:szCs w:val="28"/>
        </w:rPr>
        <w:t>进行调研，开展试验验证</w:t>
      </w:r>
      <w:r>
        <w:rPr>
          <w:rFonts w:hint="eastAsia" w:ascii="仿宋_GB2312" w:hAnsi="宋体" w:eastAsia="仿宋_GB2312"/>
          <w:sz w:val="32"/>
          <w:szCs w:val="28"/>
        </w:rPr>
        <w:t>。并实际征求意见，通过收集反馈了大量意见，标准编制工作组多次召开会议，对标准草案进行了反复修改和研究讨论。进一步讨论完善标准草案，形成团体标准《广西柠檬鸭炒制技术规程》（征求意见稿）和（征求意见稿）编制说明。</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（一）实用性原则</w:t>
      </w:r>
    </w:p>
    <w:p>
      <w:pPr>
        <w:ind w:firstLine="640" w:firstLineChars="200"/>
        <w:rPr>
          <w:rFonts w:ascii="仿宋_GB2312" w:hAnsi="宋体" w:eastAsia="仿宋_GB2312"/>
          <w:sz w:val="32"/>
          <w:szCs w:val="28"/>
        </w:rPr>
      </w:pPr>
      <w:r>
        <w:rPr>
          <w:rFonts w:hint="eastAsia" w:ascii="仿宋_GB2312" w:hAnsi="宋体" w:eastAsia="仿宋_GB2312"/>
          <w:sz w:val="32"/>
          <w:szCs w:val="28"/>
        </w:rPr>
        <w:t>本文件是在充分收集相关资料和文献，分析广西柠檬鸭炒制技术当前现状，在现有相关广西柠檬鸭炒制技术要求的基础上，结合编制单位</w:t>
      </w:r>
      <w:r>
        <w:rPr>
          <w:rFonts w:ascii="仿宋_GB2312" w:hAnsi="宋体" w:eastAsia="仿宋_GB2312"/>
          <w:sz w:val="32"/>
          <w:szCs w:val="28"/>
        </w:rPr>
        <w:t>多年</w:t>
      </w:r>
      <w:r>
        <w:rPr>
          <w:rFonts w:hint="eastAsia" w:ascii="仿宋_GB2312" w:hAnsi="宋体" w:eastAsia="仿宋_GB2312"/>
          <w:sz w:val="32"/>
          <w:szCs w:val="28"/>
        </w:rPr>
        <w:t>选育的试验和经验而总结起草的，符合当前广西柠檬鸭炒制技术发展的方向，具有较强的实用性和可操作性。</w:t>
      </w:r>
    </w:p>
    <w:p>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（二）协调性原则</w:t>
      </w:r>
    </w:p>
    <w:p>
      <w:pPr>
        <w:ind w:firstLine="640" w:firstLineChars="200"/>
        <w:rPr>
          <w:rFonts w:ascii="仿宋_GB2312" w:hAnsi="宋体" w:eastAsia="仿宋_GB2312"/>
          <w:sz w:val="32"/>
          <w:szCs w:val="28"/>
        </w:rPr>
      </w:pPr>
      <w:r>
        <w:rPr>
          <w:rFonts w:hint="eastAsia" w:ascii="仿宋_GB2312" w:hAnsi="宋体" w:eastAsia="仿宋_GB2312"/>
          <w:sz w:val="32"/>
          <w:szCs w:val="28"/>
        </w:rPr>
        <w:t>本文件编写过程中注意了与广西柠檬鸭炒制技术相关法律法规的协调问题，在内容上与现行法律法规、标准协调一致。</w:t>
      </w:r>
    </w:p>
    <w:p>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（三）规范性原则</w:t>
      </w:r>
    </w:p>
    <w:p>
      <w:pPr>
        <w:ind w:firstLine="640" w:firstLineChars="200"/>
        <w:rPr>
          <w:rFonts w:ascii="仿宋_GB2312" w:hAnsi="宋体" w:eastAsia="仿宋_GB2312"/>
          <w:sz w:val="32"/>
          <w:szCs w:val="28"/>
        </w:rPr>
      </w:pPr>
      <w:r>
        <w:rPr>
          <w:rFonts w:hint="eastAsia" w:ascii="仿宋_GB2312" w:hAnsi="宋体" w:eastAsia="仿宋_GB2312"/>
          <w:sz w:val="32"/>
          <w:szCs w:val="28"/>
        </w:rPr>
        <w:t>本文件严格参照GB/T 1.1—2020《标准化工作导则  第1部分：标准化文件的结构和起草规则》编写本标准的内容，保证标准的编写质量。</w:t>
      </w:r>
    </w:p>
    <w:p>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（四）前瞻性原则</w:t>
      </w:r>
    </w:p>
    <w:p>
      <w:pPr>
        <w:ind w:firstLine="640" w:firstLineChars="200"/>
        <w:rPr>
          <w:rFonts w:ascii="仿宋_GB2312" w:hAnsi="宋体" w:eastAsia="仿宋_GB2312"/>
          <w:sz w:val="32"/>
          <w:szCs w:val="28"/>
        </w:rPr>
      </w:pPr>
      <w:r>
        <w:rPr>
          <w:rFonts w:hint="eastAsia" w:ascii="仿宋_GB2312" w:hAnsi="宋体" w:eastAsia="仿宋_GB2312"/>
          <w:sz w:val="32"/>
          <w:szCs w:val="28"/>
        </w:rPr>
        <w:t>本文件在兼顾当前区内广西柠檬鸭炒制技术现实情况的同时，还考虑到了广西柠檬鸭炒制技术快速发展的趋势和需要，在标准中体现了个别特色性、前瞻性和先进性条款，作为对广西柠檬鸭炒制技术发展的指导。</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五、标准主要内容及依据来源</w:t>
      </w:r>
      <w:bookmarkEnd w:id="1"/>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团体标准《广西柠檬鸭炒制技术规程》的主要章节内容包括：</w:t>
      </w:r>
      <w:r>
        <w:rPr>
          <w:rFonts w:hint="eastAsia" w:ascii="仿宋_GB2312" w:hAnsi="宋体" w:eastAsia="仿宋_GB2312"/>
          <w:sz w:val="32"/>
          <w:szCs w:val="28"/>
        </w:rPr>
        <w:t>术语和定义、炒制工艺、</w:t>
      </w:r>
      <w:r>
        <w:rPr>
          <w:rFonts w:ascii="仿宋_GB2312" w:hAnsi="宋体" w:eastAsia="仿宋_GB2312"/>
          <w:sz w:val="32"/>
          <w:szCs w:val="28"/>
        </w:rPr>
        <w:t>成品感官、档案</w:t>
      </w:r>
      <w:r>
        <w:rPr>
          <w:rFonts w:hint="eastAsia" w:ascii="仿宋_GB2312" w:hAnsi="宋体" w:eastAsia="仿宋_GB2312"/>
          <w:sz w:val="32"/>
          <w:szCs w:val="28"/>
        </w:rPr>
        <w:t>记录</w:t>
      </w:r>
      <w:r>
        <w:rPr>
          <w:rFonts w:hint="eastAsia" w:ascii="仿宋_GB2312" w:hAnsi="宋体" w:eastAsia="仿宋_GB2312"/>
          <w:sz w:val="32"/>
          <w:szCs w:val="32"/>
          <w:lang w:val="zh-CN"/>
        </w:rPr>
        <w:t>。本文件主要内容及依据来源说明如下：</w:t>
      </w:r>
    </w:p>
    <w:p>
      <w:pPr>
        <w:pStyle w:val="29"/>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rPr>
        <w:t>术语与定义</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柠檬鸭</w:t>
      </w:r>
      <w:r>
        <w:rPr>
          <w:rFonts w:ascii="仿宋_GB2312" w:hAnsi="宋体" w:eastAsia="仿宋_GB2312"/>
          <w:sz w:val="32"/>
          <w:szCs w:val="32"/>
          <w:lang w:val="zh-CN"/>
        </w:rPr>
        <w:t>的术语定义主要</w:t>
      </w:r>
      <w:r>
        <w:rPr>
          <w:rFonts w:hint="eastAsia" w:ascii="仿宋_GB2312" w:hAnsi="宋体" w:eastAsia="仿宋_GB2312"/>
          <w:sz w:val="32"/>
          <w:szCs w:val="32"/>
          <w:lang w:val="zh-CN"/>
        </w:rPr>
        <w:t xml:space="preserve">参照DBS45 056—2018《食品安全地方标准 </w:t>
      </w:r>
      <w:r>
        <w:rPr>
          <w:rFonts w:ascii="仿宋_GB2312" w:hAnsi="宋体" w:eastAsia="仿宋_GB2312"/>
          <w:sz w:val="32"/>
          <w:szCs w:val="32"/>
          <w:lang w:val="zh-CN"/>
        </w:rPr>
        <w:t xml:space="preserve"> </w:t>
      </w:r>
      <w:r>
        <w:rPr>
          <w:rFonts w:hint="eastAsia" w:ascii="仿宋_GB2312" w:hAnsi="宋体" w:eastAsia="仿宋_GB2312"/>
          <w:sz w:val="32"/>
          <w:szCs w:val="32"/>
          <w:lang w:val="zh-CN"/>
        </w:rPr>
        <w:t>柠檬鸭》，见</w:t>
      </w:r>
      <w:r>
        <w:rPr>
          <w:rFonts w:ascii="仿宋_GB2312" w:hAnsi="宋体" w:eastAsia="仿宋_GB2312"/>
          <w:sz w:val="32"/>
          <w:szCs w:val="32"/>
          <w:lang w:val="zh-CN"/>
        </w:rPr>
        <w:t>图</w:t>
      </w:r>
      <w:r>
        <w:rPr>
          <w:rFonts w:hint="eastAsia" w:ascii="仿宋_GB2312" w:hAnsi="宋体" w:eastAsia="仿宋_GB2312"/>
          <w:sz w:val="32"/>
          <w:szCs w:val="32"/>
          <w:lang w:val="zh-CN"/>
        </w:rPr>
        <w:t>1，</w:t>
      </w:r>
      <w:r>
        <w:rPr>
          <w:rFonts w:ascii="仿宋_GB2312" w:hAnsi="宋体" w:eastAsia="仿宋_GB2312"/>
          <w:sz w:val="32"/>
          <w:szCs w:val="32"/>
          <w:lang w:val="zh-CN"/>
        </w:rPr>
        <w:t>并根据编制单位</w:t>
      </w:r>
      <w:r>
        <w:rPr>
          <w:rFonts w:hint="eastAsia" w:ascii="仿宋_GB2312" w:hAnsi="宋体" w:eastAsia="仿宋_GB2312"/>
          <w:sz w:val="32"/>
          <w:szCs w:val="32"/>
          <w:lang w:val="zh-CN"/>
        </w:rPr>
        <w:t>柠檬鸭</w:t>
      </w:r>
      <w:r>
        <w:rPr>
          <w:rFonts w:ascii="仿宋_GB2312" w:hAnsi="宋体" w:eastAsia="仿宋_GB2312"/>
          <w:sz w:val="32"/>
          <w:szCs w:val="32"/>
          <w:lang w:val="zh-CN"/>
        </w:rPr>
        <w:t>炒制技术经验</w:t>
      </w:r>
      <w:r>
        <w:rPr>
          <w:rFonts w:hint="eastAsia" w:ascii="仿宋_GB2312" w:hAnsi="宋体" w:eastAsia="仿宋_GB2312"/>
          <w:sz w:val="32"/>
          <w:szCs w:val="32"/>
          <w:lang w:val="zh-CN"/>
        </w:rPr>
        <w:t>进行确定，即以广西本地樱桃鸭或麻鸭为主料，腌制酸柠檬、腌制酸辣椒、生姜、蒜米等为辅料，经初加工、烹煮、炒制而成，极具广西壮族酸辣咸香特色的风味美食。</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4" w:type="dxa"/>
          </w:tcPr>
          <w:p>
            <w:pPr>
              <w:jc w:val="center"/>
              <w:rPr>
                <w:rFonts w:ascii="仿宋_GB2312" w:hAnsi="宋体" w:eastAsia="仿宋_GB2312"/>
                <w:sz w:val="32"/>
                <w:szCs w:val="32"/>
                <w:lang w:val="zh-CN"/>
              </w:rPr>
            </w:pPr>
            <w:r>
              <w:rPr>
                <w:rFonts w:ascii="仿宋_GB2312" w:hAnsi="宋体" w:eastAsia="仿宋_GB2312"/>
                <w:sz w:val="32"/>
                <w:szCs w:val="32"/>
              </w:rPr>
              <w:drawing>
                <wp:inline distT="0" distB="0" distL="0" distR="0">
                  <wp:extent cx="5657850" cy="1062355"/>
                  <wp:effectExtent l="0" t="0" r="0" b="4445"/>
                  <wp:docPr id="1" name="图片 1" descr="D:\Backup\Documents\WeChat Files\wxid_yjjd2urzer8422\FileStorage\Temp\5f1e22b77060934c7ef89f5eef659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Backup\Documents\WeChat Files\wxid_yjjd2urzer8422\FileStorage\Temp\5f1e22b77060934c7ef89f5eef6590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684005" cy="1067378"/>
                          </a:xfrm>
                          <a:prstGeom prst="rect">
                            <a:avLst/>
                          </a:prstGeom>
                          <a:noFill/>
                          <a:ln>
                            <a:noFill/>
                          </a:ln>
                        </pic:spPr>
                      </pic:pic>
                    </a:graphicData>
                  </a:graphic>
                </wp:inline>
              </w:drawing>
            </w:r>
          </w:p>
        </w:tc>
      </w:tr>
    </w:tbl>
    <w:p>
      <w:pPr>
        <w:jc w:val="center"/>
        <w:rPr>
          <w:rFonts w:ascii="仿宋_GB2312" w:hAnsi="宋体" w:eastAsia="仿宋_GB2312"/>
          <w:b/>
          <w:sz w:val="32"/>
          <w:szCs w:val="32"/>
          <w:lang w:val="zh-CN"/>
        </w:rPr>
      </w:pPr>
      <w:r>
        <w:rPr>
          <w:rFonts w:hint="eastAsia" w:ascii="仿宋_GB2312" w:hAnsi="宋体" w:eastAsia="仿宋_GB2312"/>
          <w:b/>
          <w:sz w:val="32"/>
          <w:szCs w:val="32"/>
          <w:lang w:val="zh-CN"/>
        </w:rPr>
        <w:t>图1  摘自DBS45 056—201</w:t>
      </w:r>
      <w:r>
        <w:rPr>
          <w:rFonts w:ascii="仿宋_GB2312" w:hAnsi="宋体" w:eastAsia="仿宋_GB2312"/>
          <w:b/>
          <w:sz w:val="32"/>
          <w:szCs w:val="32"/>
          <w:lang w:val="zh-CN"/>
        </w:rPr>
        <w:t>8</w:t>
      </w:r>
      <w:r>
        <w:rPr>
          <w:rFonts w:hint="eastAsia" w:ascii="仿宋_GB2312" w:hAnsi="宋体" w:eastAsia="仿宋_GB2312"/>
          <w:b/>
          <w:sz w:val="32"/>
          <w:szCs w:val="32"/>
          <w:lang w:val="zh-CN"/>
        </w:rPr>
        <w:t>中</w:t>
      </w:r>
      <w:r>
        <w:rPr>
          <w:rFonts w:ascii="仿宋_GB2312" w:hAnsi="宋体" w:eastAsia="仿宋_GB2312"/>
          <w:b/>
          <w:sz w:val="32"/>
          <w:szCs w:val="32"/>
          <w:lang w:val="zh-CN"/>
        </w:rPr>
        <w:t>的</w:t>
      </w:r>
      <w:r>
        <w:rPr>
          <w:rFonts w:hint="eastAsia" w:ascii="仿宋_GB2312" w:hAnsi="宋体" w:eastAsia="仿宋_GB2312"/>
          <w:b/>
          <w:sz w:val="32"/>
          <w:szCs w:val="32"/>
          <w:lang w:val="zh-CN"/>
        </w:rPr>
        <w:t>3.1</w:t>
      </w:r>
    </w:p>
    <w:p>
      <w:pPr>
        <w:autoSpaceDE w:val="0"/>
        <w:autoSpaceDN w:val="0"/>
        <w:adjustRightInd w:val="0"/>
        <w:spacing w:before="156" w:beforeLines="50" w:after="156" w:afterLines="50" w:line="560" w:lineRule="exact"/>
        <w:ind w:firstLine="482" w:firstLineChars="200"/>
        <w:jc w:val="left"/>
        <w:rPr>
          <w:b/>
          <w:bCs/>
          <w:sz w:val="24"/>
          <w:szCs w:val="28"/>
        </w:rPr>
      </w:pPr>
    </w:p>
    <w:p>
      <w:pPr>
        <w:pStyle w:val="29"/>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rPr>
        <w:t>炒制</w:t>
      </w:r>
      <w:r>
        <w:rPr>
          <w:rFonts w:ascii="仿宋_GB2312" w:hAnsi="宋体" w:eastAsia="仿宋_GB2312"/>
          <w:b/>
          <w:sz w:val="32"/>
          <w:szCs w:val="32"/>
          <w:lang w:val="zh-CN"/>
        </w:rPr>
        <w:t>工艺</w:t>
      </w:r>
    </w:p>
    <w:p>
      <w:pPr>
        <w:ind w:firstLine="643" w:firstLineChars="200"/>
        <w:rPr>
          <w:rFonts w:ascii="仿宋_GB2312" w:hAnsi="宋体" w:eastAsia="仿宋_GB2312"/>
          <w:b/>
          <w:sz w:val="32"/>
          <w:szCs w:val="32"/>
          <w:lang w:val="zh-CN"/>
        </w:rPr>
      </w:pPr>
      <w:r>
        <w:rPr>
          <w:rFonts w:hint="eastAsia" w:ascii="仿宋_GB2312" w:eastAsia="仿宋_GB2312"/>
          <w:b/>
          <w:bCs/>
          <w:sz w:val="32"/>
          <w:szCs w:val="32"/>
        </w:rPr>
        <w:t>1、工艺流程</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主要</w:t>
      </w:r>
      <w:r>
        <w:rPr>
          <w:rFonts w:ascii="仿宋_GB2312" w:hAnsi="宋体" w:eastAsia="仿宋_GB2312"/>
          <w:sz w:val="32"/>
          <w:szCs w:val="32"/>
          <w:lang w:val="zh-CN"/>
        </w:rPr>
        <w:t>依据标准单位多年的</w:t>
      </w:r>
      <w:r>
        <w:rPr>
          <w:rFonts w:hint="eastAsia" w:ascii="仿宋_GB2312" w:hAnsi="宋体" w:eastAsia="仿宋_GB2312"/>
          <w:sz w:val="32"/>
          <w:szCs w:val="32"/>
          <w:lang w:val="zh-CN"/>
        </w:rPr>
        <w:t>柠檬鸭</w:t>
      </w:r>
      <w:r>
        <w:rPr>
          <w:rFonts w:ascii="仿宋_GB2312" w:hAnsi="宋体" w:eastAsia="仿宋_GB2312"/>
          <w:sz w:val="32"/>
          <w:szCs w:val="32"/>
          <w:lang w:val="zh-CN"/>
        </w:rPr>
        <w:t>炒制技术经验</w:t>
      </w:r>
      <w:r>
        <w:rPr>
          <w:rFonts w:hint="eastAsia" w:ascii="仿宋_GB2312" w:hAnsi="宋体" w:eastAsia="仿宋_GB2312"/>
          <w:sz w:val="32"/>
          <w:szCs w:val="32"/>
          <w:lang w:val="zh-CN"/>
        </w:rPr>
        <w:t>确定</w:t>
      </w:r>
      <w:r>
        <w:rPr>
          <w:rFonts w:ascii="仿宋_GB2312" w:hAnsi="宋体" w:eastAsia="仿宋_GB2312"/>
          <w:sz w:val="32"/>
          <w:szCs w:val="32"/>
          <w:lang w:val="zh-CN"/>
        </w:rPr>
        <w:t>，</w:t>
      </w:r>
      <w:r>
        <w:rPr>
          <w:rFonts w:hint="eastAsia" w:ascii="仿宋_GB2312" w:hAnsi="宋体" w:eastAsia="仿宋_GB2312"/>
          <w:sz w:val="32"/>
          <w:szCs w:val="32"/>
          <w:lang w:val="zh-CN"/>
        </w:rPr>
        <w:t>见</w:t>
      </w:r>
      <w:r>
        <w:rPr>
          <w:rFonts w:ascii="仿宋_GB2312" w:hAnsi="宋体" w:eastAsia="仿宋_GB2312"/>
          <w:sz w:val="32"/>
          <w:szCs w:val="32"/>
          <w:lang w:val="zh-CN"/>
        </w:rPr>
        <w:t>图</w:t>
      </w:r>
      <w:r>
        <w:rPr>
          <w:rFonts w:hint="eastAsia" w:ascii="仿宋_GB2312" w:hAnsi="宋体" w:eastAsia="仿宋_GB2312"/>
          <w:sz w:val="32"/>
          <w:szCs w:val="32"/>
          <w:lang w:val="zh-CN"/>
        </w:rPr>
        <w:t>2。</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jc w:val="center"/>
              <w:rPr>
                <w:rFonts w:ascii="仿宋_GB2312" w:hAnsi="宋体" w:eastAsia="仿宋_GB2312"/>
                <w:sz w:val="32"/>
                <w:szCs w:val="32"/>
                <w:lang w:val="zh-CN"/>
              </w:rPr>
            </w:pPr>
            <w:r>
              <mc:AlternateContent>
                <mc:Choice Requires="wpc">
                  <w:drawing>
                    <wp:inline distT="0" distB="0" distL="0" distR="0">
                      <wp:extent cx="4752975" cy="318135"/>
                      <wp:effectExtent l="0" t="0" r="0" b="5715"/>
                      <wp:docPr id="17" name="画布 17"/>
                      <wp:cNvGraphicFramePr/>
                      <a:graphic xmlns:a="http://schemas.openxmlformats.org/drawingml/2006/main">
                        <a:graphicData uri="http://schemas.microsoft.com/office/word/2010/wordprocessingCanvas">
                          <wpc:wpc>
                            <wpc:bg>
                              <a:noFill/>
                            </wpc:bg>
                            <wpc:whole/>
                            <wps:wsp>
                              <wps:cNvPr id="3" name="Rectangle 14"/>
                              <wps:cNvSpPr>
                                <a:spLocks noChangeArrowheads="1"/>
                              </wps:cNvSpPr>
                              <wps:spPr bwMode="auto">
                                <a:xfrm>
                                  <a:off x="986156" y="27940"/>
                                  <a:ext cx="63563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预处理</w:t>
                                    </w:r>
                                  </w:p>
                                </w:txbxContent>
                              </wps:txbx>
                              <wps:bodyPr rot="0" vert="horz" wrap="square" lIns="91440" tIns="45720" rIns="91440" bIns="45720" anchor="t" anchorCtr="0" upright="1">
                                <a:noAutofit/>
                              </wps:bodyPr>
                            </wps:wsp>
                            <wps:wsp>
                              <wps:cNvPr id="6" name="AutoShape 15"/>
                              <wps:cNvCnPr>
                                <a:cxnSpLocks noChangeShapeType="1"/>
                                <a:stCxn id="8" idx="3"/>
                                <a:endCxn id="3" idx="1"/>
                              </wps:cNvCnPr>
                              <wps:spPr bwMode="auto">
                                <a:xfrm>
                                  <a:off x="718821" y="154940"/>
                                  <a:ext cx="267335" cy="635"/>
                                </a:xfrm>
                                <a:prstGeom prst="straightConnector1">
                                  <a:avLst/>
                                </a:prstGeom>
                                <a:noFill/>
                                <a:ln w="9525">
                                  <a:solidFill>
                                    <a:srgbClr val="000000"/>
                                  </a:solidFill>
                                  <a:round/>
                                  <a:tailEnd type="triangle" w="med" len="med"/>
                                </a:ln>
                              </wps:spPr>
                              <wps:bodyPr/>
                            </wps:wsp>
                            <wps:wsp>
                              <wps:cNvPr id="8" name="Rectangle 14"/>
                              <wps:cNvSpPr>
                                <a:spLocks noChangeArrowheads="1"/>
                              </wps:cNvSpPr>
                              <wps:spPr bwMode="auto">
                                <a:xfrm>
                                  <a:off x="38736" y="27940"/>
                                  <a:ext cx="68008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原料选择</w:t>
                                    </w:r>
                                  </w:p>
                                </w:txbxContent>
                              </wps:txbx>
                              <wps:bodyPr rot="0" vert="horz" wrap="square" lIns="91440" tIns="45720" rIns="91440" bIns="45720" anchor="t" anchorCtr="0" upright="1">
                                <a:noAutofit/>
                              </wps:bodyPr>
                            </wps:wsp>
                            <wps:wsp>
                              <wps:cNvPr id="10" name="Rectangle 14"/>
                              <wps:cNvSpPr>
                                <a:spLocks noChangeArrowheads="1"/>
                              </wps:cNvSpPr>
                              <wps:spPr bwMode="auto">
                                <a:xfrm>
                                  <a:off x="1889127" y="27940"/>
                                  <a:ext cx="66738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烹煮</w:t>
                                    </w:r>
                                  </w:p>
                                </w:txbxContent>
                              </wps:txbx>
                              <wps:bodyPr rot="0" vert="horz" wrap="square" lIns="91440" tIns="45720" rIns="91440" bIns="45720" anchor="t" anchorCtr="0" upright="1">
                                <a:noAutofit/>
                              </wps:bodyPr>
                            </wps:wsp>
                            <wps:wsp>
                              <wps:cNvPr id="13" name="Rectangle 14"/>
                              <wps:cNvSpPr>
                                <a:spLocks noChangeArrowheads="1"/>
                              </wps:cNvSpPr>
                              <wps:spPr bwMode="auto">
                                <a:xfrm>
                                  <a:off x="2851787" y="27940"/>
                                  <a:ext cx="69786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炒制</w:t>
                                    </w:r>
                                  </w:p>
                                </w:txbxContent>
                              </wps:txbx>
                              <wps:bodyPr rot="0" vert="horz" wrap="square" lIns="91440" tIns="45720" rIns="91440" bIns="45720" anchor="t" anchorCtr="0" upright="1">
                                <a:noAutofit/>
                              </wps:bodyPr>
                            </wps:wsp>
                            <wps:wsp>
                              <wps:cNvPr id="14" name="AutoShape 15"/>
                              <wps:cNvCnPr>
                                <a:cxnSpLocks noChangeShapeType="1"/>
                                <a:stCxn id="3" idx="3"/>
                              </wps:cNvCnPr>
                              <wps:spPr bwMode="auto">
                                <a:xfrm>
                                  <a:off x="1621791" y="154940"/>
                                  <a:ext cx="267335" cy="635"/>
                                </a:xfrm>
                                <a:prstGeom prst="straightConnector1">
                                  <a:avLst/>
                                </a:prstGeom>
                                <a:noFill/>
                                <a:ln w="9525">
                                  <a:solidFill>
                                    <a:srgbClr val="000000"/>
                                  </a:solidFill>
                                  <a:round/>
                                  <a:tailEnd type="triangle" w="med" len="med"/>
                                </a:ln>
                              </wps:spPr>
                              <wps:bodyPr/>
                            </wps:wsp>
                            <wps:wsp>
                              <wps:cNvPr id="16" name="AutoShape 15"/>
                              <wps:cNvCnPr>
                                <a:cxnSpLocks noChangeShapeType="1"/>
                                <a:stCxn id="10" idx="3"/>
                                <a:endCxn id="13" idx="1"/>
                              </wps:cNvCnPr>
                              <wps:spPr bwMode="auto">
                                <a:xfrm>
                                  <a:off x="2556512" y="154940"/>
                                  <a:ext cx="295275" cy="635"/>
                                </a:xfrm>
                                <a:prstGeom prst="straightConnector1">
                                  <a:avLst/>
                                </a:prstGeom>
                                <a:noFill/>
                                <a:ln w="9525">
                                  <a:solidFill>
                                    <a:srgbClr val="000000"/>
                                  </a:solidFill>
                                  <a:round/>
                                  <a:tailEnd type="triangle" w="med" len="med"/>
                                </a:ln>
                              </wps:spPr>
                              <wps:bodyPr/>
                            </wps:wsp>
                            <wps:wsp>
                              <wps:cNvPr id="15" name="Rectangle 14"/>
                              <wps:cNvSpPr>
                                <a:spLocks noChangeArrowheads="1"/>
                              </wps:cNvSpPr>
                              <wps:spPr bwMode="auto">
                                <a:xfrm>
                                  <a:off x="3844745" y="27940"/>
                                  <a:ext cx="69786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收汁出锅</w:t>
                                    </w:r>
                                  </w:p>
                                </w:txbxContent>
                              </wps:txbx>
                              <wps:bodyPr rot="0" vert="horz" wrap="square" lIns="91440" tIns="45720" rIns="91440" bIns="45720" anchor="t" anchorCtr="0" upright="1">
                                <a:noAutofit/>
                              </wps:bodyPr>
                            </wps:wsp>
                            <wps:wsp>
                              <wps:cNvPr id="18" name="AutoShape 15"/>
                              <wps:cNvCnPr>
                                <a:cxnSpLocks noChangeShapeType="1"/>
                                <a:stCxn id="13" idx="3"/>
                                <a:endCxn id="15" idx="1"/>
                              </wps:cNvCnPr>
                              <wps:spPr bwMode="auto">
                                <a:xfrm>
                                  <a:off x="3549652" y="154623"/>
                                  <a:ext cx="295093" cy="0"/>
                                </a:xfrm>
                                <a:prstGeom prst="straightConnector1">
                                  <a:avLst/>
                                </a:prstGeom>
                                <a:noFill/>
                                <a:ln w="9525">
                                  <a:solidFill>
                                    <a:srgbClr val="000000"/>
                                  </a:solidFill>
                                  <a:round/>
                                  <a:tailEnd type="triangle" w="med" len="med"/>
                                </a:ln>
                              </wps:spPr>
                              <wps:bodyPr/>
                            </wps:wsp>
                          </wpc:wpc>
                        </a:graphicData>
                      </a:graphic>
                    </wp:inline>
                  </w:drawing>
                </mc:Choice>
                <mc:Fallback>
                  <w:pict>
                    <v:group id="_x0000_s1026" o:spid="_x0000_s1026" o:spt="203" style="height:25.05pt;width:374.25pt;" coordsize="4752975,318135" editas="canvas" o:gfxdata="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">
                      <o:lock v:ext="edit" aspectratio="f"/>
                      <v:shape id="_x0000_s1026" o:spid="_x0000_s1026" style="position:absolute;left:0;top:0;height:318135;width:4752975;" filled="f" stroked="f" coordsize="21600,21600" o:gfxdata="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OU227dYAAAAEAQAADwAA&#10;AAAAAAABACAAAAAiAAAAZHJzL2Rvd25yZXYueG1sUEsBAhQAFAAAAAgAh07iQOb+b0zgAwAAqBgA&#10;AA4AAAAAAAAAAQAgAAAAJQEAAGRycy9lMm9Eb2MueG1sUEsFBgAAAAAGAAYAWQEAAHcHAAAAAA==&#10;">
                        <v:fill on="f" focussize="0,0"/>
                        <v:stroke on="f"/>
                        <v:imagedata o:title=""/>
                        <o:lock v:ext="edit" aspectratio="f"/>
                      </v:shape>
                      <v:rect id="Rectangle 14" o:spid="_x0000_s1026" o:spt="1" style="position:absolute;left:986156;top:27940;height:253365;width:63563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bbJeX1AAAAAQBAAAPAAAAAAAAAAEAIAAAACIAAABkcnMvZG93bnJldi54&#10;bWxQSwECFAAUAAAACACHTuJACsrv5DcCAACGBAAADgAAAAAAAAABACAAAAAjAQAAZHJzL2Uyb0Rv&#10;Yy54bWxQSwUGAAAAAAYABgBZAQAAzAU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预处理</w:t>
                              </w:r>
                            </w:p>
                          </w:txbxContent>
                        </v:textbox>
                      </v:rect>
                      <v:shape id="AutoShape 15" o:spid="_x0000_s1026" o:spt="32" type="#_x0000_t32" style="position:absolute;left:718821;top:154940;height:635;width:267335;" filled="f" stroked="t" coordsize="21600,21600" o:gfxdata="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fxzutcAAAAEAQAADwAAAAAAAAAB&#10;ACAAAAAiAAAAZHJzL2Rvd25yZXYueG1sUEsBAhQAFAAAAAgAh07iQIodLM0RAgAAHwQAAA4AAAAA&#10;AAAAAQAgAAAAJgEAAGRycy9lMm9Eb2MueG1sUEsFBgAAAAAGAAYAWQEAAKkFAAAAAA==&#10;">
                        <v:fill on="f" focussize="0,0"/>
                        <v:stroke color="#000000" joinstyle="round" endarrow="block"/>
                        <v:imagedata o:title=""/>
                        <o:lock v:ext="edit" aspectratio="f"/>
                      </v:shape>
                      <v:rect id="Rectangle 14" o:spid="_x0000_s1026" o:spt="1" style="position:absolute;left:38736;top:27940;height:253365;width:68008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tsl5fUAAAABAEAAA8AAAAAAAAAAQAgAAAAIgAAAGRycy9kb3ducmV2Lnht&#10;bFBLAQIUABQAAAAIAIdO4kCsloccNgIAAIUEAAAOAAAAAAAAAAEAIAAAACMBAABkcnMvZTJvRG9j&#10;LnhtbFBLBQYAAAAABgAGAFkBAADL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原料选择</w:t>
                              </w:r>
                            </w:p>
                          </w:txbxContent>
                        </v:textbox>
                      </v:rect>
                      <v:rect id="Rectangle 14" o:spid="_x0000_s1026" o:spt="1" style="position:absolute;left:1889127;top:27940;height:253365;width:66738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2yXl9QAAAAEAQAADwAAAAAAAAABACAAAAAiAAAAZHJzL2Rvd25yZXYu&#10;eG1sUEsBAhQAFAAAAAgAh07iQI7Rkmc4AgAAiAQAAA4AAAAAAAAAAQAgAAAAIwEAAGRycy9lMm9E&#10;b2MueG1sUEsFBgAAAAAGAAYAWQEAAM0FA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烹煮</w:t>
                              </w:r>
                            </w:p>
                          </w:txbxContent>
                        </v:textbox>
                      </v:rect>
                      <v:rect id="Rectangle 14" o:spid="_x0000_s1026" o:spt="1" style="position:absolute;left:2851787;top:27940;height:253365;width:69786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tsl5fUAAAABAEAAA8AAAAAAAAAAQAgAAAAIgAAAGRycy9kb3ducmV2Lnht&#10;bFBLAQIUABQAAAAIAIdO4kB7Fc6ZNgIAAIgEAAAOAAAAAAAAAAEAIAAAACMBAABkcnMvZTJvRG9j&#10;LnhtbFBLBQYAAAAABgAGAFkBAADL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炒制</w:t>
                              </w:r>
                            </w:p>
                          </w:txbxContent>
                        </v:textbox>
                      </v:rect>
                      <v:shape id="AutoShape 15" o:spid="_x0000_s1026" o:spt="32" type="#_x0000_t32" style="position:absolute;left:1621791;top:154940;height:635;width:267335;" filled="f" stroked="t" coordsize="21600,21600" o:gfxdata="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h/HO61wAAAAQBAAAPAAAAAAAAAAEAIAAAACIA&#10;AABkcnMvZG93bnJldi54bWxQSwECFAAUAAAACACHTuJAV/NlmwoCAAAHBAAADgAAAAAAAAABACAA&#10;AAAmAQAAZHJzL2Uyb0RvYy54bWxQSwUGAAAAAAYABgBZAQAAogUAAAAA&#10;">
                        <v:fill on="f" focussize="0,0"/>
                        <v:stroke color="#000000" joinstyle="round" endarrow="block"/>
                        <v:imagedata o:title=""/>
                        <o:lock v:ext="edit" aspectratio="f"/>
                      </v:shape>
                      <v:shape id="AutoShape 15" o:spid="_x0000_s1026" o:spt="32" type="#_x0000_t32" style="position:absolute;left:2556512;top:154940;height:635;width:295275;" filled="f" stroked="t" coordsize="21600,21600" o:gfxdata="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H8c7rXAAAABAEAAA8AAAAAAAAA&#10;AQAgAAAAIgAAAGRycy9kb3ducmV2LnhtbFBLAQIUABQAAAAIAIdO4kBjaAu4EgIAACMEAAAOAAAA&#10;AAAAAAEAIAAAACYBAABkcnMvZTJvRG9jLnhtbFBLBQYAAAAABgAGAFkBAACqBQAAAAA=&#10;">
                        <v:fill on="f" focussize="0,0"/>
                        <v:stroke color="#000000" joinstyle="round" endarrow="block"/>
                        <v:imagedata o:title=""/>
                        <o:lock v:ext="edit" aspectratio="f"/>
                      </v:shape>
                      <v:rect id="Rectangle 14" o:spid="_x0000_s1026" o:spt="1" style="position:absolute;left:3844745;top:27940;height:253365;width:69786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tsl5fUAAAABAEAAA8AAAAAAAAAAQAgAAAAIgAAAGRycy9kb3ducmV2Lnht&#10;bFBLAQIUABQAAAAIAIdO4kBpmSfwNgIAAIgEAAAOAAAAAAAAAAEAIAAAACMBAABkcnMvZTJvRG9j&#10;LnhtbFBLBQYAAAAABgAGAFkBAADL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收汁出锅</w:t>
                              </w:r>
                            </w:p>
                          </w:txbxContent>
                        </v:textbox>
                      </v:rect>
                      <v:shape id="AutoShape 15" o:spid="_x0000_s1026" o:spt="32" type="#_x0000_t32" style="position:absolute;left:3549652;top:154623;height:0;width:295093;" filled="f" stroked="t" coordsize="21600,21600" o:gfxdata="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h/HO61wAAAAQBAAAPAAAAAAAAAAEA&#10;IAAAACIAAABkcnMvZG93bnJldi54bWxQSwECFAAUAAAACACHTuJAGsxQLBACAAAhBAAADgAAAAAA&#10;AAABACAAAAAmAQAAZHJzL2Uyb0RvYy54bWxQSwUGAAAAAAYABgBZAQAAqAUAAAAA&#10;">
                        <v:fill on="f" focussize="0,0"/>
                        <v:stroke color="#000000" joinstyle="round" endarrow="block"/>
                        <v:imagedata o:title=""/>
                        <o:lock v:ext="edit" aspectratio="f"/>
                      </v:shape>
                      <w10:wrap type="none"/>
                      <w10:anchorlock/>
                    </v:group>
                  </w:pict>
                </mc:Fallback>
              </mc:AlternateContent>
            </w:r>
          </w:p>
        </w:tc>
      </w:tr>
    </w:tbl>
    <w:p>
      <w:pPr>
        <w:ind w:firstLine="643" w:firstLineChars="200"/>
        <w:jc w:val="center"/>
        <w:rPr>
          <w:rFonts w:ascii="仿宋_GB2312" w:hAnsi="宋体" w:eastAsia="仿宋_GB2312"/>
          <w:sz w:val="32"/>
          <w:szCs w:val="32"/>
          <w:lang w:val="zh-CN"/>
        </w:rPr>
      </w:pPr>
      <w:r>
        <w:rPr>
          <w:rFonts w:hint="eastAsia" w:ascii="仿宋_GB2312" w:hAnsi="宋体" w:eastAsia="仿宋_GB2312"/>
          <w:b/>
          <w:sz w:val="32"/>
          <w:szCs w:val="32"/>
          <w:lang w:val="zh-CN"/>
        </w:rPr>
        <w:t>图2</w:t>
      </w:r>
      <w:r>
        <w:rPr>
          <w:rFonts w:ascii="仿宋_GB2312" w:hAnsi="宋体" w:eastAsia="仿宋_GB2312"/>
          <w:b/>
          <w:sz w:val="32"/>
          <w:szCs w:val="32"/>
          <w:lang w:val="zh-CN"/>
        </w:rPr>
        <w:t xml:space="preserve">  </w:t>
      </w:r>
      <w:r>
        <w:rPr>
          <w:rFonts w:hint="eastAsia" w:ascii="仿宋_GB2312" w:hAnsi="宋体" w:eastAsia="仿宋_GB2312"/>
          <w:b/>
          <w:sz w:val="32"/>
          <w:szCs w:val="32"/>
          <w:lang w:val="zh-CN"/>
        </w:rPr>
        <w:t>广西柠檬鸭炒制工艺流程图</w:t>
      </w:r>
    </w:p>
    <w:p>
      <w:pPr>
        <w:ind w:firstLine="643" w:firstLineChars="200"/>
        <w:rPr>
          <w:rFonts w:ascii="仿宋_GB2312" w:hAnsi="宋体" w:eastAsia="仿宋_GB2312"/>
          <w:b/>
          <w:sz w:val="32"/>
          <w:szCs w:val="32"/>
          <w:lang w:val="zh-CN"/>
        </w:rPr>
      </w:pPr>
      <w:r>
        <w:rPr>
          <w:rFonts w:hint="eastAsia" w:ascii="仿宋_GB2312" w:hAnsi="宋体" w:eastAsia="仿宋_GB2312"/>
          <w:b/>
          <w:sz w:val="32"/>
          <w:szCs w:val="32"/>
          <w:lang w:val="zh-CN"/>
        </w:rPr>
        <w:t>2.工艺</w:t>
      </w:r>
      <w:r>
        <w:rPr>
          <w:rFonts w:ascii="仿宋_GB2312" w:hAnsi="宋体" w:eastAsia="仿宋_GB2312"/>
          <w:b/>
          <w:sz w:val="32"/>
          <w:szCs w:val="32"/>
          <w:lang w:val="zh-CN"/>
        </w:rPr>
        <w:t>操作</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首先，在原材料的选择方面，由于不同气候和土壤环境所培育出的食材特性是不同的，因此，要求广西柠檬鸭的主要食材要求产自广西本地，这样才能保证按照本标准工艺炒制的广西柠檬鸭具备广西壮族酸辣咸香特色风味。因此，建议选择广西本地农家散养青壮樱桃鸭或麻鸭（体重在2.25kg～3.00kg）；选择使用广西本地白椒腌制并符合GB 2714《食品安全国家标准  酱腌菜》要求的腌制酸辣椒（图</w:t>
      </w:r>
      <w:r>
        <w:rPr>
          <w:rFonts w:ascii="仿宋_GB2312" w:hAnsi="宋体" w:eastAsia="仿宋_GB2312"/>
          <w:sz w:val="32"/>
          <w:szCs w:val="32"/>
          <w:lang w:val="zh-CN"/>
        </w:rPr>
        <w:t>1</w:t>
      </w:r>
      <w:r>
        <w:rPr>
          <w:rFonts w:hint="eastAsia" w:ascii="仿宋_GB2312" w:hAnsi="宋体" w:eastAsia="仿宋_GB2312"/>
          <w:sz w:val="32"/>
          <w:szCs w:val="32"/>
          <w:lang w:val="zh-CN"/>
        </w:rPr>
        <w:t>）和使用广西本地土柠檬腌制并符合GB 2714《食品安全国家标准  酱腌菜》要求且腌制3年以上的酸柠檬（图2），因为柠檬的腌制需要放入大量食盐，腌制不到3年的柠檬通常称为咸柠檬，腌制3年以后的柠檬，食盐被微生物消耗完，也叫发酵好的腌制柠檬，其咸味减弱酸味突出适合用于烹制食材。</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48" w:type="dxa"/>
          </w:tcPr>
          <w:p>
            <w:pPr>
              <w:jc w:val="center"/>
              <w:rPr>
                <w:rFonts w:ascii="仿宋_GB2312" w:hAnsi="宋体" w:eastAsia="仿宋_GB2312"/>
                <w:sz w:val="32"/>
                <w:szCs w:val="32"/>
                <w:lang w:val="zh-CN"/>
              </w:rPr>
            </w:pPr>
            <w:r>
              <w:rPr>
                <w:rFonts w:hint="eastAsia"/>
              </w:rPr>
              <w:drawing>
                <wp:inline distT="0" distB="0" distL="114300" distR="114300">
                  <wp:extent cx="4190365" cy="2794000"/>
                  <wp:effectExtent l="0" t="0" r="635" b="6350"/>
                  <wp:docPr id="27" name="图片 27" descr="酸辣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酸辣椒"/>
                          <pic:cNvPicPr>
                            <a:picLocks noChangeAspect="1"/>
                          </pic:cNvPicPr>
                        </pic:nvPicPr>
                        <pic:blipFill>
                          <a:blip r:embed="rId6"/>
                          <a:stretch>
                            <a:fillRect/>
                          </a:stretch>
                        </pic:blipFill>
                        <pic:spPr>
                          <a:xfrm>
                            <a:off x="0" y="0"/>
                            <a:ext cx="4236174" cy="2824376"/>
                          </a:xfrm>
                          <a:prstGeom prst="rect">
                            <a:avLst/>
                          </a:prstGeom>
                        </pic:spPr>
                      </pic:pic>
                    </a:graphicData>
                  </a:graphic>
                </wp:inline>
              </w:drawing>
            </w:r>
          </w:p>
        </w:tc>
      </w:tr>
    </w:tbl>
    <w:p>
      <w:pPr>
        <w:ind w:firstLine="643" w:firstLineChars="200"/>
        <w:jc w:val="center"/>
        <w:rPr>
          <w:rFonts w:ascii="仿宋_GB2312" w:hAnsi="宋体" w:eastAsia="仿宋_GB2312"/>
          <w:b/>
          <w:bCs/>
          <w:sz w:val="32"/>
          <w:szCs w:val="32"/>
          <w:lang w:val="zh-CN"/>
        </w:rPr>
      </w:pPr>
      <w:r>
        <w:rPr>
          <w:rFonts w:hint="eastAsia" w:ascii="仿宋_GB2312" w:hAnsi="宋体" w:eastAsia="仿宋_GB2312"/>
          <w:b/>
          <w:bCs/>
          <w:sz w:val="32"/>
          <w:szCs w:val="32"/>
          <w:lang w:val="zh-CN"/>
        </w:rPr>
        <w:t>图1腌制酸柠檬参考图</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48" w:type="dxa"/>
          </w:tcPr>
          <w:p>
            <w:pPr>
              <w:jc w:val="center"/>
              <w:rPr>
                <w:rFonts w:ascii="仿宋_GB2312" w:hAnsi="宋体" w:eastAsia="仿宋_GB2312"/>
                <w:sz w:val="32"/>
                <w:szCs w:val="32"/>
                <w:lang w:val="zh-CN"/>
              </w:rPr>
            </w:pPr>
            <w:r>
              <w:rPr>
                <w:rFonts w:hint="eastAsia"/>
              </w:rPr>
              <w:drawing>
                <wp:inline distT="0" distB="0" distL="114300" distR="114300">
                  <wp:extent cx="4213225" cy="2808605"/>
                  <wp:effectExtent l="0" t="0" r="0" b="0"/>
                  <wp:docPr id="20" name="图片 20" descr="腌制柠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腌制柠檬"/>
                          <pic:cNvPicPr>
                            <a:picLocks noChangeAspect="1"/>
                          </pic:cNvPicPr>
                        </pic:nvPicPr>
                        <pic:blipFill>
                          <a:blip r:embed="rId7"/>
                          <a:stretch>
                            <a:fillRect/>
                          </a:stretch>
                        </pic:blipFill>
                        <pic:spPr>
                          <a:xfrm>
                            <a:off x="0" y="0"/>
                            <a:ext cx="4249956" cy="2833522"/>
                          </a:xfrm>
                          <a:prstGeom prst="rect">
                            <a:avLst/>
                          </a:prstGeom>
                        </pic:spPr>
                      </pic:pic>
                    </a:graphicData>
                  </a:graphic>
                </wp:inline>
              </w:drawing>
            </w:r>
          </w:p>
        </w:tc>
      </w:tr>
    </w:tbl>
    <w:p>
      <w:pPr>
        <w:ind w:firstLine="643" w:firstLineChars="200"/>
        <w:jc w:val="center"/>
        <w:rPr>
          <w:rFonts w:ascii="仿宋_GB2312" w:hAnsi="宋体" w:eastAsia="仿宋_GB2312"/>
          <w:b/>
          <w:bCs/>
          <w:sz w:val="32"/>
          <w:szCs w:val="32"/>
          <w:lang w:val="zh-CN"/>
        </w:rPr>
      </w:pPr>
      <w:r>
        <w:rPr>
          <w:rFonts w:hint="eastAsia" w:ascii="仿宋_GB2312" w:hAnsi="宋体" w:eastAsia="仿宋_GB2312"/>
          <w:b/>
          <w:bCs/>
          <w:sz w:val="32"/>
          <w:szCs w:val="32"/>
          <w:lang w:val="zh-CN"/>
        </w:rPr>
        <w:t>图2</w:t>
      </w:r>
      <w:r>
        <w:rPr>
          <w:rFonts w:ascii="仿宋_GB2312" w:hAnsi="宋体" w:eastAsia="仿宋_GB2312"/>
          <w:b/>
          <w:bCs/>
          <w:sz w:val="32"/>
          <w:szCs w:val="32"/>
          <w:lang w:val="zh-CN"/>
        </w:rPr>
        <w:t xml:space="preserve"> </w:t>
      </w:r>
      <w:r>
        <w:rPr>
          <w:rFonts w:hint="eastAsia" w:ascii="仿宋_GB2312" w:hAnsi="宋体" w:eastAsia="仿宋_GB2312"/>
          <w:b/>
          <w:bCs/>
          <w:sz w:val="32"/>
          <w:szCs w:val="32"/>
          <w:lang w:val="zh-CN"/>
        </w:rPr>
        <w:t>腌制酸辣椒参考图</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此外，广西桂林盛产腐乳，其味道独特，口感特别，因此在腐乳的选择上建议选择桂林腐乳。且广西是甘蔗种植大省，也是产糖大省，广西的白砂糖不仅产量高、价格便宜，且甜度合适，能够很好与食材自身的味道相结合，增加美食的鲜嫩口感，因此在糖的选择上建议选择广西白砂糖。而为了保障食品的安全卫士，要求其他原材料符合国家食品安全的有关规定。</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此外，为了解</w:t>
      </w:r>
      <w:r>
        <w:rPr>
          <w:rFonts w:ascii="仿宋_GB2312" w:hAnsi="宋体" w:eastAsia="仿宋_GB2312"/>
          <w:sz w:val="32"/>
          <w:szCs w:val="32"/>
          <w:lang w:val="zh-CN"/>
        </w:rPr>
        <w:t>广西</w:t>
      </w:r>
      <w:r>
        <w:rPr>
          <w:rFonts w:hint="eastAsia" w:ascii="仿宋_GB2312" w:hAnsi="宋体" w:eastAsia="仿宋_GB2312"/>
          <w:sz w:val="32"/>
          <w:szCs w:val="32"/>
          <w:lang w:val="zh-CN"/>
        </w:rPr>
        <w:t>各个</w:t>
      </w:r>
      <w:r>
        <w:rPr>
          <w:rFonts w:ascii="仿宋_GB2312" w:hAnsi="宋体" w:eastAsia="仿宋_GB2312"/>
          <w:sz w:val="32"/>
          <w:szCs w:val="32"/>
          <w:lang w:val="zh-CN"/>
        </w:rPr>
        <w:t>餐饮企业</w:t>
      </w:r>
      <w:r>
        <w:rPr>
          <w:rFonts w:hint="eastAsia" w:ascii="仿宋_GB2312" w:hAnsi="宋体" w:eastAsia="仿宋_GB2312"/>
          <w:sz w:val="32"/>
          <w:szCs w:val="32"/>
          <w:lang w:val="zh-CN"/>
        </w:rPr>
        <w:t>柠檬鸭</w:t>
      </w:r>
      <w:r>
        <w:rPr>
          <w:rFonts w:ascii="仿宋_GB2312" w:hAnsi="宋体" w:eastAsia="仿宋_GB2312"/>
          <w:sz w:val="32"/>
          <w:szCs w:val="32"/>
          <w:lang w:val="zh-CN"/>
        </w:rPr>
        <w:t>炒制技术</w:t>
      </w:r>
      <w:r>
        <w:rPr>
          <w:rFonts w:hint="eastAsia" w:ascii="仿宋_GB2312" w:hAnsi="宋体" w:eastAsia="仿宋_GB2312"/>
          <w:sz w:val="32"/>
          <w:szCs w:val="32"/>
          <w:lang w:val="zh-CN"/>
        </w:rPr>
        <w:t>，</w:t>
      </w:r>
      <w:r>
        <w:rPr>
          <w:rFonts w:ascii="仿宋_GB2312" w:hAnsi="宋体" w:eastAsia="仿宋_GB2312"/>
          <w:sz w:val="32"/>
          <w:szCs w:val="32"/>
          <w:lang w:val="zh-CN"/>
        </w:rPr>
        <w:t>统一</w:t>
      </w:r>
      <w:r>
        <w:rPr>
          <w:rFonts w:hint="eastAsia" w:ascii="仿宋_GB2312" w:hAnsi="宋体" w:eastAsia="仿宋_GB2312"/>
          <w:sz w:val="32"/>
          <w:szCs w:val="32"/>
          <w:lang w:val="zh-CN"/>
        </w:rPr>
        <w:t>柠檬鸭炒制</w:t>
      </w:r>
      <w:r>
        <w:rPr>
          <w:rFonts w:ascii="仿宋_GB2312" w:hAnsi="宋体" w:eastAsia="仿宋_GB2312"/>
          <w:sz w:val="32"/>
          <w:szCs w:val="32"/>
          <w:lang w:val="zh-CN"/>
        </w:rPr>
        <w:t>流程和炒制技术条件</w:t>
      </w:r>
      <w:r>
        <w:rPr>
          <w:rFonts w:hint="eastAsia" w:ascii="仿宋_GB2312" w:hAnsi="宋体" w:eastAsia="仿宋_GB2312"/>
          <w:sz w:val="32"/>
          <w:szCs w:val="32"/>
          <w:lang w:val="zh-CN"/>
        </w:rPr>
        <w:t>，</w:t>
      </w:r>
      <w:r>
        <w:rPr>
          <w:rFonts w:ascii="仿宋_GB2312" w:hAnsi="宋体" w:eastAsia="仿宋_GB2312"/>
          <w:sz w:val="32"/>
          <w:szCs w:val="32"/>
          <w:lang w:val="zh-CN"/>
        </w:rPr>
        <w:t>编制单位制定相关技术调查表，通过线上线下的方式发送到</w:t>
      </w:r>
      <w:r>
        <w:rPr>
          <w:rFonts w:hint="eastAsia" w:ascii="仿宋_GB2312" w:hAnsi="宋体" w:eastAsia="仿宋_GB2312"/>
          <w:sz w:val="32"/>
          <w:szCs w:val="32"/>
          <w:lang w:val="zh-CN"/>
        </w:rPr>
        <w:t>广西</w:t>
      </w:r>
      <w:r>
        <w:rPr>
          <w:rFonts w:ascii="仿宋_GB2312" w:hAnsi="宋体" w:eastAsia="仿宋_GB2312"/>
          <w:sz w:val="32"/>
          <w:szCs w:val="32"/>
          <w:lang w:val="zh-CN"/>
        </w:rPr>
        <w:t>各个柠檬鸭炒制餐饮企业，</w:t>
      </w:r>
      <w:r>
        <w:rPr>
          <w:rFonts w:hint="eastAsia" w:ascii="仿宋_GB2312" w:hAnsi="宋体" w:eastAsia="仿宋_GB2312"/>
          <w:sz w:val="32"/>
          <w:szCs w:val="32"/>
          <w:lang w:val="zh-CN"/>
        </w:rPr>
        <w:t>收集</w:t>
      </w:r>
      <w:r>
        <w:rPr>
          <w:rFonts w:ascii="仿宋_GB2312" w:hAnsi="宋体" w:eastAsia="仿宋_GB2312"/>
          <w:sz w:val="32"/>
          <w:szCs w:val="32"/>
          <w:lang w:val="zh-CN"/>
        </w:rPr>
        <w:t>各个企业柠檬鸭炒制的相关技术参数。</w:t>
      </w:r>
      <w:r>
        <w:rPr>
          <w:rFonts w:hint="eastAsia" w:ascii="仿宋_GB2312" w:hAnsi="宋体" w:eastAsia="仿宋_GB2312"/>
          <w:sz w:val="32"/>
          <w:szCs w:val="32"/>
          <w:lang w:val="zh-CN"/>
        </w:rPr>
        <w:t>同时</w:t>
      </w:r>
      <w:r>
        <w:rPr>
          <w:rFonts w:ascii="仿宋_GB2312" w:hAnsi="宋体" w:eastAsia="仿宋_GB2312"/>
          <w:sz w:val="32"/>
          <w:szCs w:val="32"/>
          <w:lang w:val="zh-CN"/>
        </w:rPr>
        <w:t>，编制单位深入各个相关餐饮企业，通过实地调研，和各</w:t>
      </w:r>
      <w:r>
        <w:rPr>
          <w:rFonts w:hint="eastAsia" w:ascii="仿宋_GB2312" w:hAnsi="宋体" w:eastAsia="仿宋_GB2312"/>
          <w:sz w:val="32"/>
          <w:szCs w:val="32"/>
          <w:lang w:val="zh-CN"/>
        </w:rPr>
        <w:t>位</w:t>
      </w:r>
      <w:r>
        <w:rPr>
          <w:rFonts w:ascii="仿宋_GB2312" w:hAnsi="宋体" w:eastAsia="仿宋_GB2312"/>
          <w:sz w:val="32"/>
          <w:szCs w:val="32"/>
          <w:lang w:val="zh-CN"/>
        </w:rPr>
        <w:t>柠檬鸭炒制厨师深入交流，挖掘</w:t>
      </w:r>
      <w:r>
        <w:rPr>
          <w:rFonts w:hint="eastAsia" w:ascii="仿宋_GB2312" w:hAnsi="宋体" w:eastAsia="仿宋_GB2312"/>
          <w:sz w:val="32"/>
          <w:szCs w:val="32"/>
          <w:lang w:val="zh-CN"/>
        </w:rPr>
        <w:t>广西</w:t>
      </w:r>
      <w:r>
        <w:rPr>
          <w:rFonts w:ascii="仿宋_GB2312" w:hAnsi="宋体" w:eastAsia="仿宋_GB2312"/>
          <w:sz w:val="32"/>
          <w:szCs w:val="32"/>
          <w:lang w:val="zh-CN"/>
        </w:rPr>
        <w:t>柠檬鸭</w:t>
      </w:r>
      <w:r>
        <w:rPr>
          <w:rFonts w:hint="eastAsia" w:ascii="仿宋_GB2312" w:hAnsi="宋体" w:eastAsia="仿宋_GB2312"/>
          <w:sz w:val="32"/>
          <w:szCs w:val="32"/>
          <w:lang w:val="zh-CN"/>
        </w:rPr>
        <w:t>炒制</w:t>
      </w:r>
      <w:r>
        <w:rPr>
          <w:rFonts w:ascii="仿宋_GB2312" w:hAnsi="宋体" w:eastAsia="仿宋_GB2312"/>
          <w:sz w:val="32"/>
          <w:szCs w:val="32"/>
          <w:lang w:val="zh-CN"/>
        </w:rPr>
        <w:t>技艺的特色特点，</w:t>
      </w:r>
      <w:r>
        <w:rPr>
          <w:rFonts w:hint="eastAsia" w:ascii="仿宋_GB2312" w:hAnsi="宋体" w:eastAsia="仿宋_GB2312"/>
          <w:sz w:val="32"/>
          <w:szCs w:val="32"/>
          <w:lang w:val="zh-CN"/>
        </w:rPr>
        <w:t>为</w:t>
      </w:r>
      <w:r>
        <w:rPr>
          <w:rFonts w:ascii="仿宋_GB2312" w:hAnsi="宋体" w:eastAsia="仿宋_GB2312"/>
          <w:sz w:val="32"/>
          <w:szCs w:val="32"/>
          <w:lang w:val="zh-CN"/>
        </w:rPr>
        <w:t>标准化、规范化奠定了良好基础。</w:t>
      </w:r>
      <w:r>
        <w:rPr>
          <w:rFonts w:hint="eastAsia" w:ascii="仿宋_GB2312" w:hAnsi="宋体" w:eastAsia="仿宋_GB2312"/>
          <w:sz w:val="32"/>
          <w:szCs w:val="32"/>
          <w:lang w:val="zh-CN"/>
        </w:rPr>
        <w:t>调查过程总结</w:t>
      </w:r>
      <w:r>
        <w:rPr>
          <w:rFonts w:ascii="仿宋_GB2312" w:hAnsi="宋体" w:eastAsia="仿宋_GB2312"/>
          <w:sz w:val="32"/>
          <w:szCs w:val="32"/>
          <w:lang w:val="zh-CN"/>
        </w:rPr>
        <w:t>如下</w:t>
      </w:r>
      <w:r>
        <w:rPr>
          <w:rFonts w:hint="eastAsia" w:ascii="仿宋_GB2312" w:hAnsi="宋体" w:eastAsia="仿宋_GB2312"/>
          <w:sz w:val="32"/>
          <w:szCs w:val="32"/>
          <w:lang w:val="zh-CN"/>
        </w:rPr>
        <w:t>：</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（1）主要编制单位广西柠檬鸭炒制工艺情况</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根据走访调研，发现部分编制单位在门店内粘贴有广西柠檬鸭炒制工艺流程，以方便顾客了解广西柠檬鸭制作过程，让柠檬鸭这道广西地方特色美食走进更多消费者的心中和走到餐桌上。如图</w:t>
      </w:r>
      <w:r>
        <w:rPr>
          <w:rFonts w:ascii="仿宋_GB2312" w:hAnsi="宋体" w:eastAsia="仿宋_GB2312"/>
          <w:sz w:val="32"/>
          <w:szCs w:val="32"/>
          <w:lang w:val="zh-CN"/>
        </w:rPr>
        <w:t>3</w:t>
      </w:r>
      <w:r>
        <w:rPr>
          <w:rFonts w:hint="eastAsia" w:ascii="仿宋_GB2312" w:hAnsi="宋体" w:eastAsia="仿宋_GB2312"/>
          <w:sz w:val="32"/>
          <w:szCs w:val="32"/>
          <w:lang w:val="zh-CN"/>
        </w:rPr>
        <w:t>所示具体的流程大概分为6个阶段，包括选鸭、切块、烹制调料、爆炒、加入柠檬、装盘出锅。本标准中广西柠檬鸭炒制工艺也是结合上述炒制过程，并结合不同餐饮店铺的做法进行归纳总结得出。</w:t>
      </w:r>
    </w:p>
    <w:p>
      <w:pPr>
        <w:ind w:firstLine="640" w:firstLineChars="200"/>
        <w:rPr>
          <w:rFonts w:ascii="仿宋_GB2312" w:hAnsi="宋体" w:eastAsia="仿宋_GB2312"/>
          <w:sz w:val="32"/>
          <w:szCs w:val="32"/>
          <w:lang w:val="zh-CN"/>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4" w:type="dxa"/>
          </w:tcPr>
          <w:p>
            <w:pPr>
              <w:jc w:val="center"/>
              <w:rPr>
                <w:rFonts w:ascii="仿宋_GB2312" w:hAnsi="宋体" w:eastAsia="仿宋_GB2312"/>
                <w:sz w:val="32"/>
                <w:szCs w:val="32"/>
                <w:lang w:val="zh-CN"/>
              </w:rPr>
            </w:pPr>
            <w:r>
              <w:drawing>
                <wp:inline distT="0" distB="0" distL="0" distR="0">
                  <wp:extent cx="4498975" cy="2790825"/>
                  <wp:effectExtent l="0" t="0" r="0" b="0"/>
                  <wp:docPr id="24" name="图片 24" descr="D:\Backup\Documents\WeChat Files\wxid_yjjd2urzer8422\FileStorage\Temp\14480a9388e2549c494cc387a1c36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D:\Backup\Documents\WeChat Files\wxid_yjjd2urzer8422\FileStorage\Temp\14480a9388e2549c494cc387a1c3683.jpg"/>
                          <pic:cNvPicPr>
                            <a:picLocks noChangeAspect="1" noChangeArrowheads="1"/>
                          </pic:cNvPicPr>
                        </pic:nvPicPr>
                        <pic:blipFill>
                          <a:blip r:embed="rId8"/>
                          <a:srcRect l="35646" t="25527" r="12059" b="11453"/>
                          <a:stretch>
                            <a:fillRect/>
                          </a:stretch>
                        </pic:blipFill>
                        <pic:spPr>
                          <a:xfrm>
                            <a:off x="0" y="0"/>
                            <a:ext cx="4510941" cy="2798231"/>
                          </a:xfrm>
                          <a:prstGeom prst="rect">
                            <a:avLst/>
                          </a:prstGeom>
                          <a:noFill/>
                          <a:ln>
                            <a:noFill/>
                          </a:ln>
                        </pic:spPr>
                      </pic:pic>
                    </a:graphicData>
                  </a:graphic>
                </wp:inline>
              </w:drawing>
            </w:r>
          </w:p>
        </w:tc>
      </w:tr>
    </w:tbl>
    <w:p>
      <w:pPr>
        <w:ind w:firstLine="643" w:firstLineChars="200"/>
        <w:jc w:val="center"/>
        <w:rPr>
          <w:rFonts w:ascii="仿宋_GB2312" w:hAnsi="宋体" w:eastAsia="仿宋_GB2312"/>
          <w:b/>
          <w:bCs/>
          <w:sz w:val="32"/>
          <w:szCs w:val="32"/>
          <w:lang w:val="zh-CN"/>
        </w:rPr>
      </w:pPr>
      <w:r>
        <w:rPr>
          <w:rFonts w:hint="eastAsia" w:ascii="仿宋_GB2312" w:hAnsi="宋体" w:eastAsia="仿宋_GB2312"/>
          <w:b/>
          <w:bCs/>
          <w:sz w:val="32"/>
          <w:szCs w:val="32"/>
          <w:lang w:val="zh-CN"/>
        </w:rPr>
        <w:t>图</w:t>
      </w:r>
      <w:r>
        <w:rPr>
          <w:rFonts w:ascii="仿宋_GB2312" w:hAnsi="宋体" w:eastAsia="仿宋_GB2312"/>
          <w:b/>
          <w:bCs/>
          <w:sz w:val="32"/>
          <w:szCs w:val="32"/>
          <w:lang w:val="zh-CN"/>
        </w:rPr>
        <w:t xml:space="preserve">3 </w:t>
      </w:r>
      <w:r>
        <w:rPr>
          <w:rFonts w:hint="eastAsia" w:ascii="仿宋_GB2312" w:hAnsi="宋体" w:eastAsia="仿宋_GB2312"/>
          <w:b/>
          <w:bCs/>
          <w:sz w:val="32"/>
          <w:szCs w:val="32"/>
          <w:lang w:val="zh-CN"/>
        </w:rPr>
        <w:t>广西柠檬鸭炒制流程图</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（2）调查</w:t>
      </w:r>
      <w:r>
        <w:rPr>
          <w:rFonts w:ascii="仿宋_GB2312" w:hAnsi="宋体" w:eastAsia="仿宋_GB2312"/>
          <w:sz w:val="32"/>
          <w:szCs w:val="32"/>
          <w:lang w:val="zh-CN"/>
        </w:rPr>
        <w:t>调研</w:t>
      </w:r>
      <w:r>
        <w:rPr>
          <w:rFonts w:hint="eastAsia" w:ascii="仿宋_GB2312" w:hAnsi="宋体" w:eastAsia="仿宋_GB2312"/>
          <w:sz w:val="32"/>
          <w:szCs w:val="32"/>
          <w:lang w:val="zh-CN"/>
        </w:rPr>
        <w:t>收集</w:t>
      </w:r>
      <w:r>
        <w:rPr>
          <w:rFonts w:ascii="仿宋_GB2312" w:hAnsi="宋体" w:eastAsia="仿宋_GB2312"/>
          <w:sz w:val="32"/>
          <w:szCs w:val="32"/>
          <w:lang w:val="zh-CN"/>
        </w:rPr>
        <w:t>数据汇总分析</w:t>
      </w:r>
      <w:r>
        <w:rPr>
          <w:rFonts w:hint="eastAsia" w:ascii="仿宋_GB2312" w:hAnsi="宋体" w:eastAsia="仿宋_GB2312"/>
          <w:sz w:val="32"/>
          <w:szCs w:val="32"/>
          <w:lang w:val="zh-CN"/>
        </w:rPr>
        <w:t>情况</w:t>
      </w:r>
    </w:p>
    <w:p>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发放的调查表如表1和表2所示。广西柠檬鸭炒制技术调查统计数据见表3，原料配比用量统计数据见表4。具体分析如下：</w:t>
      </w:r>
    </w:p>
    <w:p>
      <w:pPr>
        <w:ind w:firstLine="640" w:firstLineChars="200"/>
        <w:rPr>
          <w:rFonts w:ascii="仿宋_GB2312" w:hAnsi="宋体" w:eastAsia="仿宋_GB2312"/>
          <w:sz w:val="32"/>
          <w:szCs w:val="32"/>
        </w:rPr>
      </w:pPr>
    </w:p>
    <w:p>
      <w:pPr>
        <w:ind w:firstLine="640" w:firstLineChars="200"/>
        <w:rPr>
          <w:rFonts w:ascii="仿宋_GB2312" w:hAnsi="宋体" w:eastAsia="仿宋_GB2312"/>
          <w:sz w:val="32"/>
          <w:szCs w:val="32"/>
        </w:rPr>
        <w:sectPr>
          <w:footerReference r:id="rId3" w:type="default"/>
          <w:pgSz w:w="11906" w:h="16838"/>
          <w:pgMar w:top="1474" w:right="1474" w:bottom="1474" w:left="1474" w:header="851" w:footer="992" w:gutter="0"/>
          <w:cols w:space="425" w:num="1"/>
          <w:docGrid w:type="lines" w:linePitch="312" w:charSpace="0"/>
        </w:sectPr>
      </w:pPr>
    </w:p>
    <w:p>
      <w:pPr>
        <w:spacing w:line="680" w:lineRule="exact"/>
        <w:jc w:val="center"/>
        <w:rPr>
          <w:rFonts w:ascii="仿宋_GB2312" w:eastAsia="仿宋_GB2312"/>
          <w:b/>
          <w:bCs/>
          <w:kern w:val="0"/>
          <w:sz w:val="30"/>
          <w:szCs w:val="30"/>
        </w:rPr>
      </w:pPr>
      <w:r>
        <w:rPr>
          <w:rFonts w:hint="eastAsia" w:ascii="仿宋_GB2312" w:eastAsia="仿宋_GB2312"/>
          <w:b/>
          <w:bCs/>
          <w:kern w:val="0"/>
          <w:sz w:val="30"/>
          <w:szCs w:val="30"/>
        </w:rPr>
        <w:t>表1</w:t>
      </w:r>
      <w:r>
        <w:rPr>
          <w:rFonts w:ascii="仿宋_GB2312" w:eastAsia="仿宋_GB2312"/>
          <w:b/>
          <w:bCs/>
          <w:kern w:val="0"/>
          <w:sz w:val="30"/>
          <w:szCs w:val="30"/>
        </w:rPr>
        <w:t xml:space="preserve"> </w:t>
      </w:r>
      <w:bookmarkStart w:id="2" w:name="_Hlk165336783"/>
      <w:r>
        <w:rPr>
          <w:rFonts w:hint="eastAsia" w:ascii="仿宋_GB2312" w:eastAsia="仿宋_GB2312"/>
          <w:b/>
          <w:bCs/>
          <w:kern w:val="0"/>
          <w:sz w:val="30"/>
          <w:szCs w:val="30"/>
        </w:rPr>
        <w:t>广西柠檬鸭炒制技术调查表</w:t>
      </w:r>
      <w:bookmarkEnd w:id="2"/>
    </w:p>
    <w:p>
      <w:pPr>
        <w:spacing w:line="680" w:lineRule="exact"/>
        <w:jc w:val="left"/>
        <w:rPr>
          <w:rFonts w:ascii="仿宋_GB2312" w:eastAsia="仿宋_GB2312"/>
          <w:kern w:val="0"/>
          <w:sz w:val="30"/>
          <w:szCs w:val="30"/>
        </w:rPr>
      </w:pPr>
      <w:r>
        <w:rPr>
          <w:rFonts w:hint="eastAsia" w:ascii="仿宋_GB2312" w:eastAsia="仿宋_GB2312"/>
          <w:kern w:val="0"/>
          <w:sz w:val="30"/>
          <w:szCs w:val="30"/>
        </w:rPr>
        <w:t>填表单位：                       填表人：              联系方式：             年   月   日</w:t>
      </w:r>
    </w:p>
    <w:tbl>
      <w:tblPr>
        <w:tblStyle w:val="6"/>
        <w:tblW w:w="14020" w:type="dxa"/>
        <w:tblInd w:w="108" w:type="dxa"/>
        <w:tblLayout w:type="autofit"/>
        <w:tblCellMar>
          <w:top w:w="0" w:type="dxa"/>
          <w:left w:w="108" w:type="dxa"/>
          <w:bottom w:w="0" w:type="dxa"/>
          <w:right w:w="108" w:type="dxa"/>
        </w:tblCellMar>
      </w:tblPr>
      <w:tblGrid>
        <w:gridCol w:w="570"/>
        <w:gridCol w:w="1557"/>
        <w:gridCol w:w="11893"/>
      </w:tblGrid>
      <w:tr>
        <w:tblPrEx>
          <w:tblCellMar>
            <w:top w:w="0" w:type="dxa"/>
            <w:left w:w="108" w:type="dxa"/>
            <w:bottom w:w="0" w:type="dxa"/>
            <w:right w:w="108" w:type="dxa"/>
          </w:tblCellMar>
        </w:tblPrEx>
        <w:trPr>
          <w:trHeight w:val="499" w:hRule="atLeast"/>
        </w:trPr>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序号</w:t>
            </w:r>
          </w:p>
        </w:tc>
        <w:tc>
          <w:tcPr>
            <w:tcW w:w="15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工艺名称</w:t>
            </w:r>
          </w:p>
        </w:tc>
        <w:tc>
          <w:tcPr>
            <w:tcW w:w="118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技术参数</w:t>
            </w:r>
          </w:p>
        </w:tc>
      </w:tr>
      <w:tr>
        <w:tblPrEx>
          <w:tblCellMar>
            <w:top w:w="0" w:type="dxa"/>
            <w:left w:w="108" w:type="dxa"/>
            <w:bottom w:w="0" w:type="dxa"/>
            <w:right w:w="108" w:type="dxa"/>
          </w:tblCellMar>
        </w:tblPrEx>
        <w:trPr>
          <w:trHeight w:val="872" w:hRule="atLeast"/>
        </w:trPr>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1</w:t>
            </w:r>
          </w:p>
        </w:tc>
        <w:tc>
          <w:tcPr>
            <w:tcW w:w="15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原料选择</w:t>
            </w:r>
          </w:p>
        </w:tc>
        <w:tc>
          <w:tcPr>
            <w:tcW w:w="118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主料：选择体重在</w:t>
            </w:r>
            <w:r>
              <w:rPr>
                <w:rFonts w:hint="eastAsia" w:ascii="仿宋_GB2312" w:eastAsia="仿宋_GB2312"/>
                <w:u w:val="single"/>
              </w:rPr>
              <w:t xml:space="preserve">       </w:t>
            </w:r>
            <w:r>
              <w:rPr>
                <w:rFonts w:hint="eastAsia" w:ascii="仿宋_GB2312" w:hAnsi="宋体" w:eastAsia="仿宋_GB2312" w:cs="宋体"/>
                <w:color w:val="000000"/>
                <w:kern w:val="0"/>
                <w:sz w:val="22"/>
                <w:szCs w:val="22"/>
              </w:rPr>
              <w:t>千克的</w:t>
            </w:r>
            <w:r>
              <w:rPr>
                <w:rFonts w:hint="eastAsia" w:ascii="仿宋_GB2312" w:eastAsia="仿宋_GB2312"/>
                <w:u w:val="single"/>
              </w:rPr>
              <w:t xml:space="preserve">       </w:t>
            </w:r>
            <w:r>
              <w:rPr>
                <w:rFonts w:hint="eastAsia" w:ascii="仿宋_GB2312" w:hAnsi="宋体" w:eastAsia="仿宋_GB2312" w:cs="宋体"/>
                <w:color w:val="000000"/>
                <w:kern w:val="0"/>
                <w:sz w:val="22"/>
                <w:szCs w:val="22"/>
              </w:rPr>
              <w:t>鸭（品种，如麻鸭、白鸭等）。</w:t>
            </w:r>
          </w:p>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辅料包括：</w:t>
            </w:r>
            <w:r>
              <w:rPr>
                <w:rFonts w:hint="eastAsia" w:ascii="仿宋_GB2312" w:eastAsia="仿宋_GB2312"/>
                <w:u w:val="single"/>
              </w:rPr>
              <w:t xml:space="preserve">                                                        </w:t>
            </w:r>
          </w:p>
        </w:tc>
      </w:tr>
      <w:tr>
        <w:tblPrEx>
          <w:tblCellMar>
            <w:top w:w="0" w:type="dxa"/>
            <w:left w:w="108" w:type="dxa"/>
            <w:bottom w:w="0" w:type="dxa"/>
            <w:right w:w="108" w:type="dxa"/>
          </w:tblCellMar>
        </w:tblPrEx>
        <w:trPr>
          <w:trHeight w:val="1002" w:hRule="atLeast"/>
        </w:trPr>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2</w:t>
            </w:r>
          </w:p>
        </w:tc>
        <w:tc>
          <w:tcPr>
            <w:tcW w:w="15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预处理</w:t>
            </w:r>
          </w:p>
        </w:tc>
        <w:tc>
          <w:tcPr>
            <w:tcW w:w="118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eastAsia="仿宋_GB2312"/>
              </w:rPr>
            </w:pPr>
            <w:r>
              <w:rPr>
                <w:rFonts w:hint="eastAsia" w:ascii="仿宋_GB2312" w:eastAsia="仿宋_GB2312"/>
              </w:rPr>
              <w:t>1、鸭肉：鸭子斩块（厚度</w:t>
            </w:r>
            <w:r>
              <w:rPr>
                <w:rFonts w:hint="eastAsia" w:ascii="仿宋_GB2312" w:eastAsia="仿宋_GB2312"/>
                <w:u w:val="single"/>
              </w:rPr>
              <w:t xml:space="preserve">     厘米）</w:t>
            </w:r>
            <w:r>
              <w:rPr>
                <w:rFonts w:hint="eastAsia" w:ascii="仿宋_GB2312" w:eastAsia="仿宋_GB2312"/>
              </w:rPr>
              <w:t>、洗净、沥干，备用。2、腌制酸柠檬：</w:t>
            </w:r>
            <w:r>
              <w:rPr>
                <w:rFonts w:hint="eastAsia" w:ascii="仿宋_GB2312" w:eastAsia="仿宋_GB2312"/>
                <w:u w:val="single"/>
              </w:rPr>
              <w:t xml:space="preserve">     </w:t>
            </w:r>
            <w:r>
              <w:rPr>
                <w:rFonts w:ascii="仿宋_GB2312" w:eastAsia="仿宋_GB2312"/>
                <w:u w:val="single"/>
              </w:rPr>
              <w:t xml:space="preserve">      </w:t>
            </w:r>
            <w:r>
              <w:rPr>
                <w:rFonts w:hint="eastAsia" w:ascii="仿宋_GB2312" w:eastAsia="仿宋_GB2312"/>
                <w:u w:val="single"/>
              </w:rPr>
              <w:t>。</w:t>
            </w:r>
            <w:r>
              <w:rPr>
                <w:rFonts w:hint="eastAsia" w:ascii="仿宋_GB2312" w:eastAsia="仿宋_GB2312"/>
              </w:rPr>
              <w:t>3、腌制酸辣椒：洗净，切成长为</w:t>
            </w:r>
            <w:r>
              <w:rPr>
                <w:rFonts w:hint="eastAsia" w:ascii="仿宋_GB2312" w:eastAsia="仿宋_GB2312"/>
                <w:u w:val="single"/>
              </w:rPr>
              <w:t xml:space="preserve">     厘米</w:t>
            </w:r>
            <w:r>
              <w:rPr>
                <w:rFonts w:hint="eastAsia" w:ascii="仿宋_GB2312" w:eastAsia="仿宋_GB2312"/>
              </w:rPr>
              <w:t>的段。4、生姜：洗净切条，截面长宽在</w:t>
            </w:r>
            <w:r>
              <w:rPr>
                <w:rFonts w:hint="eastAsia" w:ascii="仿宋_GB2312" w:eastAsia="仿宋_GB2312"/>
                <w:u w:val="single"/>
              </w:rPr>
              <w:t xml:space="preserve">   </w:t>
            </w:r>
            <w:r>
              <w:rPr>
                <w:rFonts w:ascii="仿宋_GB2312" w:eastAsia="仿宋_GB2312"/>
                <w:u w:val="single"/>
              </w:rPr>
              <w:t xml:space="preserve">  </w:t>
            </w:r>
            <w:r>
              <w:rPr>
                <w:rFonts w:hint="eastAsia" w:ascii="仿宋_GB2312" w:eastAsia="仿宋_GB2312"/>
                <w:u w:val="single"/>
              </w:rPr>
              <w:t xml:space="preserve">  厘米</w:t>
            </w:r>
            <w:r>
              <w:rPr>
                <w:rFonts w:hint="eastAsia" w:ascii="仿宋_GB2312" w:eastAsia="仿宋_GB2312"/>
              </w:rPr>
              <w:t>。5、蒜米：</w:t>
            </w:r>
            <w:r>
              <w:rPr>
                <w:rFonts w:hint="eastAsia" w:ascii="仿宋_GB2312" w:eastAsia="仿宋_GB2312"/>
                <w:u w:val="single"/>
              </w:rPr>
              <w:t xml:space="preserve">     </w:t>
            </w:r>
            <w:r>
              <w:rPr>
                <w:rFonts w:ascii="仿宋_GB2312" w:eastAsia="仿宋_GB2312"/>
                <w:u w:val="single"/>
              </w:rPr>
              <w:t xml:space="preserve">      </w:t>
            </w:r>
            <w:r>
              <w:rPr>
                <w:rFonts w:hint="eastAsia" w:ascii="仿宋_GB2312" w:eastAsia="仿宋_GB2312"/>
                <w:u w:val="single"/>
              </w:rPr>
              <w:t>。</w:t>
            </w:r>
          </w:p>
        </w:tc>
      </w:tr>
      <w:tr>
        <w:tblPrEx>
          <w:tblCellMar>
            <w:top w:w="0" w:type="dxa"/>
            <w:left w:w="108" w:type="dxa"/>
            <w:bottom w:w="0" w:type="dxa"/>
            <w:right w:w="108" w:type="dxa"/>
          </w:tblCellMar>
        </w:tblPrEx>
        <w:trPr>
          <w:trHeight w:val="932" w:hRule="atLeast"/>
        </w:trPr>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3</w:t>
            </w:r>
          </w:p>
        </w:tc>
        <w:tc>
          <w:tcPr>
            <w:tcW w:w="15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烹煮</w:t>
            </w:r>
          </w:p>
        </w:tc>
        <w:tc>
          <w:tcPr>
            <w:tcW w:w="118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eastAsia="仿宋_GB2312"/>
              </w:rPr>
            </w:pPr>
            <w:r>
              <w:rPr>
                <w:rFonts w:hint="eastAsia" w:ascii="仿宋_GB2312" w:eastAsia="仿宋_GB2312"/>
              </w:rPr>
              <w:t>锅中倒入植物油，加入生姜、酸辣椒、蒜米炒爆</w:t>
            </w:r>
            <w:r>
              <w:rPr>
                <w:rFonts w:hint="eastAsia" w:ascii="仿宋_GB2312" w:eastAsia="仿宋_GB2312"/>
                <w:u w:val="single"/>
              </w:rPr>
              <w:t xml:space="preserve">     </w:t>
            </w:r>
            <w:r>
              <w:rPr>
                <w:rFonts w:hint="eastAsia" w:ascii="仿宋_GB2312" w:eastAsia="仿宋_GB2312"/>
              </w:rPr>
              <w:t xml:space="preserve"> 秒，炒出香味后倒入砍好的鸭块，加入白酒</w:t>
            </w:r>
            <w:r>
              <w:rPr>
                <w:rFonts w:hint="eastAsia" w:ascii="仿宋_GB2312" w:eastAsia="仿宋_GB2312"/>
                <w:u w:val="single"/>
              </w:rPr>
              <w:t xml:space="preserve">     </w:t>
            </w:r>
            <w:r>
              <w:rPr>
                <w:rFonts w:hint="eastAsia" w:ascii="仿宋_GB2312" w:eastAsia="仿宋_GB2312"/>
              </w:rPr>
              <w:t xml:space="preserve"> 克、清水</w:t>
            </w:r>
            <w:r>
              <w:rPr>
                <w:rFonts w:hint="eastAsia" w:ascii="仿宋_GB2312" w:eastAsia="仿宋_GB2312"/>
                <w:u w:val="single"/>
              </w:rPr>
              <w:t xml:space="preserve">     </w:t>
            </w:r>
            <w:r>
              <w:rPr>
                <w:rFonts w:hint="eastAsia" w:ascii="仿宋_GB2312" w:eastAsia="仿宋_GB2312"/>
              </w:rPr>
              <w:t xml:space="preserve"> 克，加盖焖煮</w:t>
            </w:r>
            <w:r>
              <w:rPr>
                <w:rFonts w:hint="eastAsia" w:ascii="仿宋_GB2312" w:eastAsia="仿宋_GB2312"/>
                <w:u w:val="single"/>
              </w:rPr>
              <w:t xml:space="preserve">     </w:t>
            </w:r>
            <w:r>
              <w:rPr>
                <w:rFonts w:hint="eastAsia" w:ascii="仿宋_GB2312" w:eastAsia="仿宋_GB2312"/>
              </w:rPr>
              <w:t xml:space="preserve"> 分钟。</w:t>
            </w:r>
          </w:p>
        </w:tc>
      </w:tr>
      <w:tr>
        <w:tblPrEx>
          <w:tblCellMar>
            <w:top w:w="0" w:type="dxa"/>
            <w:left w:w="108" w:type="dxa"/>
            <w:bottom w:w="0" w:type="dxa"/>
            <w:right w:w="108" w:type="dxa"/>
          </w:tblCellMar>
        </w:tblPrEx>
        <w:trPr>
          <w:trHeight w:val="526" w:hRule="atLeast"/>
        </w:trPr>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4</w:t>
            </w:r>
          </w:p>
        </w:tc>
        <w:tc>
          <w:tcPr>
            <w:tcW w:w="15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炒制</w:t>
            </w:r>
          </w:p>
        </w:tc>
        <w:tc>
          <w:tcPr>
            <w:tcW w:w="118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eastAsia="仿宋_GB2312"/>
              </w:rPr>
            </w:pPr>
            <w:r>
              <w:rPr>
                <w:rFonts w:hint="eastAsia" w:ascii="仿宋_GB2312" w:eastAsia="仿宋_GB2312"/>
              </w:rPr>
              <w:t>烹煮后的食材中火翻炒</w:t>
            </w:r>
            <w:r>
              <w:rPr>
                <w:rFonts w:hint="eastAsia" w:ascii="仿宋_GB2312" w:eastAsia="仿宋_GB2312"/>
                <w:u w:val="single"/>
              </w:rPr>
              <w:t xml:space="preserve">     </w:t>
            </w:r>
            <w:r>
              <w:rPr>
                <w:rFonts w:hint="eastAsia" w:ascii="仿宋_GB2312" w:eastAsia="仿宋_GB2312"/>
              </w:rPr>
              <w:t>分钟，加入调制好的酱料</w:t>
            </w:r>
            <w:r>
              <w:rPr>
                <w:rFonts w:hint="eastAsia" w:ascii="仿宋_GB2312" w:eastAsia="仿宋_GB2312"/>
                <w:u w:val="single"/>
              </w:rPr>
              <w:t xml:space="preserve">     </w:t>
            </w:r>
            <w:r>
              <w:rPr>
                <w:rFonts w:hint="eastAsia" w:ascii="仿宋_GB2312" w:eastAsia="仿宋_GB2312"/>
              </w:rPr>
              <w:t xml:space="preserve"> 克，大火颠锅爆炒</w:t>
            </w:r>
            <w:r>
              <w:rPr>
                <w:rFonts w:hint="eastAsia" w:ascii="仿宋_GB2312" w:eastAsia="仿宋_GB2312"/>
                <w:u w:val="single"/>
              </w:rPr>
              <w:t xml:space="preserve">     </w:t>
            </w:r>
            <w:r>
              <w:rPr>
                <w:rFonts w:hint="eastAsia" w:ascii="仿宋_GB2312" w:eastAsia="仿宋_GB2312"/>
              </w:rPr>
              <w:t>分钟。</w:t>
            </w:r>
          </w:p>
        </w:tc>
      </w:tr>
      <w:tr>
        <w:tblPrEx>
          <w:tblCellMar>
            <w:top w:w="0" w:type="dxa"/>
            <w:left w:w="108" w:type="dxa"/>
            <w:bottom w:w="0" w:type="dxa"/>
            <w:right w:w="108" w:type="dxa"/>
          </w:tblCellMar>
        </w:tblPrEx>
        <w:trPr>
          <w:trHeight w:val="584" w:hRule="atLeast"/>
        </w:trPr>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5</w:t>
            </w:r>
          </w:p>
        </w:tc>
        <w:tc>
          <w:tcPr>
            <w:tcW w:w="15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收汁出锅</w:t>
            </w:r>
          </w:p>
        </w:tc>
        <w:tc>
          <w:tcPr>
            <w:tcW w:w="118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eastAsia="仿宋_GB2312"/>
              </w:rPr>
            </w:pPr>
            <w:r>
              <w:rPr>
                <w:rFonts w:hint="eastAsia" w:ascii="仿宋_GB2312" w:eastAsia="仿宋_GB2312"/>
              </w:rPr>
              <w:t>爆炒结束后加入腌制酸柠檬</w:t>
            </w:r>
            <w:r>
              <w:rPr>
                <w:rFonts w:hint="eastAsia" w:ascii="仿宋_GB2312" w:eastAsia="仿宋_GB2312"/>
                <w:u w:val="single"/>
              </w:rPr>
              <w:t xml:space="preserve">     </w:t>
            </w:r>
            <w:r>
              <w:rPr>
                <w:rFonts w:hint="eastAsia" w:ascii="仿宋_GB2312" w:eastAsia="仿宋_GB2312"/>
              </w:rPr>
              <w:t xml:space="preserve"> 克，再翻炒</w:t>
            </w:r>
            <w:r>
              <w:rPr>
                <w:rFonts w:hint="eastAsia" w:ascii="仿宋_GB2312" w:eastAsia="仿宋_GB2312"/>
                <w:u w:val="single"/>
              </w:rPr>
              <w:t xml:space="preserve">     </w:t>
            </w:r>
            <w:r>
              <w:rPr>
                <w:rFonts w:hint="eastAsia" w:ascii="仿宋_GB2312" w:eastAsia="仿宋_GB2312"/>
              </w:rPr>
              <w:t>分钟，收汁出锅装盘即可。</w:t>
            </w:r>
          </w:p>
        </w:tc>
      </w:tr>
      <w:tr>
        <w:tblPrEx>
          <w:tblCellMar>
            <w:top w:w="0" w:type="dxa"/>
            <w:left w:w="108" w:type="dxa"/>
            <w:bottom w:w="0" w:type="dxa"/>
            <w:right w:w="108" w:type="dxa"/>
          </w:tblCellMar>
        </w:tblPrEx>
        <w:trPr>
          <w:trHeight w:val="1002" w:hRule="atLeast"/>
        </w:trPr>
        <w:tc>
          <w:tcPr>
            <w:tcW w:w="5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ascii="仿宋_GB2312" w:hAnsi="宋体" w:eastAsia="仿宋_GB2312" w:cs="宋体"/>
                <w:b/>
                <w:color w:val="000000"/>
                <w:kern w:val="0"/>
                <w:sz w:val="22"/>
                <w:szCs w:val="22"/>
              </w:rPr>
              <w:t>6</w:t>
            </w:r>
          </w:p>
        </w:tc>
        <w:tc>
          <w:tcPr>
            <w:tcW w:w="15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其他</w:t>
            </w:r>
          </w:p>
        </w:tc>
        <w:tc>
          <w:tcPr>
            <w:tcW w:w="118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000000"/>
                <w:kern w:val="0"/>
                <w:sz w:val="22"/>
                <w:szCs w:val="22"/>
              </w:rPr>
            </w:pPr>
            <w:r>
              <w:rPr>
                <w:rFonts w:hint="eastAsia" w:ascii="仿宋_GB2312" w:hAnsi="宋体" w:eastAsia="仿宋_GB2312" w:cs="宋体"/>
                <w:b/>
                <w:color w:val="000000"/>
                <w:kern w:val="0"/>
                <w:sz w:val="22"/>
                <w:szCs w:val="22"/>
              </w:rPr>
              <w:t>若工艺过程有区别，请在此处补充：</w:t>
            </w:r>
          </w:p>
          <w:p>
            <w:pPr>
              <w:widowControl/>
              <w:jc w:val="left"/>
              <w:rPr>
                <w:rFonts w:ascii="仿宋_GB2312" w:hAnsi="宋体" w:eastAsia="仿宋_GB2312" w:cs="宋体"/>
                <w:b/>
                <w:color w:val="000000"/>
                <w:kern w:val="0"/>
                <w:sz w:val="22"/>
                <w:szCs w:val="22"/>
              </w:rPr>
            </w:pPr>
          </w:p>
          <w:p>
            <w:pPr>
              <w:widowControl/>
              <w:jc w:val="left"/>
              <w:rPr>
                <w:rFonts w:ascii="仿宋_GB2312" w:hAnsi="宋体" w:eastAsia="仿宋_GB2312" w:cs="宋体"/>
                <w:b/>
                <w:color w:val="000000"/>
                <w:kern w:val="0"/>
                <w:sz w:val="22"/>
                <w:szCs w:val="22"/>
              </w:rPr>
            </w:pPr>
          </w:p>
          <w:p>
            <w:pPr>
              <w:widowControl/>
              <w:jc w:val="left"/>
              <w:rPr>
                <w:rFonts w:ascii="仿宋_GB2312" w:eastAsia="仿宋_GB2312"/>
              </w:rPr>
            </w:pPr>
          </w:p>
        </w:tc>
      </w:tr>
    </w:tbl>
    <w:p>
      <w:pPr>
        <w:ind w:firstLine="640" w:firstLineChars="200"/>
        <w:rPr>
          <w:rFonts w:ascii="仿宋_GB2312" w:hAnsi="宋体" w:eastAsia="仿宋_GB2312"/>
          <w:sz w:val="32"/>
          <w:szCs w:val="32"/>
        </w:rPr>
      </w:pPr>
      <w:r>
        <w:rPr>
          <w:rFonts w:ascii="仿宋_GB2312" w:hAnsi="宋体" w:eastAsia="仿宋_GB2312"/>
          <w:sz w:val="32"/>
          <w:szCs w:val="32"/>
        </w:rPr>
        <w:br w:type="page"/>
      </w:r>
    </w:p>
    <w:p>
      <w:pPr>
        <w:spacing w:line="680" w:lineRule="exact"/>
        <w:jc w:val="center"/>
        <w:rPr>
          <w:rFonts w:ascii="仿宋_GB2312" w:eastAsia="仿宋_GB2312"/>
          <w:b/>
          <w:bCs/>
          <w:kern w:val="0"/>
          <w:sz w:val="30"/>
          <w:szCs w:val="30"/>
        </w:rPr>
      </w:pPr>
      <w:r>
        <w:rPr>
          <w:rFonts w:hint="eastAsia" w:ascii="仿宋_GB2312" w:eastAsia="仿宋_GB2312"/>
          <w:b/>
          <w:bCs/>
          <w:kern w:val="0"/>
          <w:sz w:val="30"/>
          <w:szCs w:val="30"/>
        </w:rPr>
        <w:t>表2 原料配比用量表</w:t>
      </w:r>
    </w:p>
    <w:tbl>
      <w:tblPr>
        <w:tblStyle w:val="6"/>
        <w:tblW w:w="5000" w:type="pct"/>
        <w:tblInd w:w="0" w:type="dxa"/>
        <w:tblLayout w:type="autofit"/>
        <w:tblCellMar>
          <w:top w:w="0" w:type="dxa"/>
          <w:left w:w="0" w:type="dxa"/>
          <w:bottom w:w="0" w:type="dxa"/>
          <w:right w:w="0" w:type="dxa"/>
        </w:tblCellMar>
      </w:tblPr>
      <w:tblGrid>
        <w:gridCol w:w="4745"/>
        <w:gridCol w:w="5917"/>
        <w:gridCol w:w="4746"/>
      </w:tblGrid>
      <w:tr>
        <w:tblPrEx>
          <w:tblCellMar>
            <w:top w:w="0" w:type="dxa"/>
            <w:left w:w="0" w:type="dxa"/>
            <w:bottom w:w="0" w:type="dxa"/>
            <w:right w:w="0" w:type="dxa"/>
          </w:tblCellMar>
        </w:tblPrEx>
        <w:trPr>
          <w:trHeight w:val="358" w:hRule="atLeast"/>
        </w:trPr>
        <w:tc>
          <w:tcPr>
            <w:tcW w:w="1540"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原料类别</w:t>
            </w:r>
          </w:p>
        </w:tc>
        <w:tc>
          <w:tcPr>
            <w:tcW w:w="1920"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名称</w:t>
            </w:r>
          </w:p>
        </w:tc>
        <w:tc>
          <w:tcPr>
            <w:tcW w:w="1540" w:type="pct"/>
            <w:tcBorders>
              <w:top w:val="single" w:color="000000" w:sz="8" w:space="0"/>
              <w:left w:val="single" w:color="000000" w:sz="4" w:space="0"/>
              <w:bottom w:val="single" w:color="000000" w:sz="8"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重量（g)</w:t>
            </w:r>
          </w:p>
        </w:tc>
      </w:tr>
      <w:tr>
        <w:tblPrEx>
          <w:tblCellMar>
            <w:top w:w="0" w:type="dxa"/>
            <w:left w:w="0" w:type="dxa"/>
            <w:bottom w:w="0" w:type="dxa"/>
            <w:right w:w="0" w:type="dxa"/>
          </w:tblCellMar>
        </w:tblPrEx>
        <w:trPr>
          <w:trHeight w:val="375" w:hRule="atLeast"/>
        </w:trPr>
        <w:tc>
          <w:tcPr>
            <w:tcW w:w="1540"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主料</w:t>
            </w:r>
          </w:p>
        </w:tc>
        <w:tc>
          <w:tcPr>
            <w:tcW w:w="1920"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鸭</w:t>
            </w:r>
          </w:p>
        </w:tc>
        <w:tc>
          <w:tcPr>
            <w:tcW w:w="1540" w:type="pct"/>
            <w:tcBorders>
              <w:top w:val="nil"/>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49" w:hRule="atLeast"/>
        </w:trPr>
        <w:tc>
          <w:tcPr>
            <w:tcW w:w="1540" w:type="pct"/>
            <w:vMerge w:val="restart"/>
            <w:tcBorders>
              <w:top w:val="single" w:color="000000" w:sz="4" w:space="0"/>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辅料</w:t>
            </w: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腌制酸柠檬</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66"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生姜</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66"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蒜米</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66"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腌制酸辣椒</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66"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白酒</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66"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酱油</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66"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腐乳</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66"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黄皮酱</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66"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白砂糖</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66"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白胡椒</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92" w:hRule="atLeast"/>
        </w:trPr>
        <w:tc>
          <w:tcPr>
            <w:tcW w:w="1540"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植物油</w:t>
            </w:r>
          </w:p>
        </w:tc>
        <w:tc>
          <w:tcPr>
            <w:tcW w:w="1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r>
        <w:tblPrEx>
          <w:tblCellMar>
            <w:top w:w="0" w:type="dxa"/>
            <w:left w:w="0" w:type="dxa"/>
            <w:bottom w:w="0" w:type="dxa"/>
            <w:right w:w="0" w:type="dxa"/>
          </w:tblCellMar>
        </w:tblPrEx>
        <w:trPr>
          <w:trHeight w:val="392" w:hRule="atLeast"/>
        </w:trPr>
        <w:tc>
          <w:tcPr>
            <w:tcW w:w="1540" w:type="pct"/>
            <w:vMerge w:val="continue"/>
            <w:tcBorders>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1920"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水</w:t>
            </w:r>
          </w:p>
        </w:tc>
        <w:tc>
          <w:tcPr>
            <w:tcW w:w="1540"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sz w:val="18"/>
                <w:szCs w:val="20"/>
              </w:rPr>
            </w:pPr>
          </w:p>
        </w:tc>
      </w:tr>
    </w:tbl>
    <w:p>
      <w:pPr>
        <w:ind w:firstLine="640" w:firstLineChars="200"/>
        <w:rPr>
          <w:rFonts w:ascii="仿宋_GB2312" w:hAnsi="宋体" w:eastAsia="仿宋_GB2312"/>
          <w:sz w:val="32"/>
          <w:szCs w:val="32"/>
          <w:lang w:val="zh-CN"/>
        </w:rPr>
      </w:pPr>
      <w:r>
        <w:rPr>
          <w:rFonts w:ascii="仿宋_GB2312" w:hAnsi="宋体" w:eastAsia="仿宋_GB2312"/>
          <w:sz w:val="32"/>
          <w:szCs w:val="32"/>
          <w:lang w:val="zh-CN"/>
        </w:rPr>
        <w:br w:type="page"/>
      </w:r>
    </w:p>
    <w:p>
      <w:pPr>
        <w:spacing w:line="680" w:lineRule="exact"/>
        <w:jc w:val="center"/>
        <w:rPr>
          <w:rFonts w:ascii="仿宋_GB2312" w:eastAsia="仿宋_GB2312"/>
          <w:b/>
          <w:bCs/>
          <w:kern w:val="0"/>
          <w:sz w:val="30"/>
          <w:szCs w:val="30"/>
        </w:rPr>
      </w:pPr>
      <w:r>
        <w:rPr>
          <w:rFonts w:hint="eastAsia" w:ascii="仿宋_GB2312" w:eastAsia="仿宋_GB2312"/>
          <w:b/>
          <w:bCs/>
          <w:kern w:val="0"/>
          <w:sz w:val="30"/>
          <w:szCs w:val="30"/>
        </w:rPr>
        <w:t>表</w:t>
      </w:r>
      <w:r>
        <w:rPr>
          <w:rFonts w:ascii="仿宋_GB2312" w:eastAsia="仿宋_GB2312"/>
          <w:b/>
          <w:bCs/>
          <w:kern w:val="0"/>
          <w:sz w:val="30"/>
          <w:szCs w:val="30"/>
        </w:rPr>
        <w:t>3</w:t>
      </w:r>
      <w:r>
        <w:rPr>
          <w:rFonts w:hint="eastAsia" w:ascii="仿宋_GB2312" w:eastAsia="仿宋_GB2312"/>
          <w:b/>
          <w:bCs/>
          <w:kern w:val="0"/>
          <w:sz w:val="30"/>
          <w:szCs w:val="30"/>
        </w:rPr>
        <w:t xml:space="preserve"> 广西柠檬鸭炒制技术调查数据汇总表</w:t>
      </w:r>
    </w:p>
    <w:tbl>
      <w:tblPr>
        <w:tblStyle w:val="6"/>
        <w:tblW w:w="159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080"/>
        <w:gridCol w:w="1080"/>
        <w:gridCol w:w="1080"/>
        <w:gridCol w:w="1080"/>
        <w:gridCol w:w="1080"/>
        <w:gridCol w:w="1080"/>
        <w:gridCol w:w="1080"/>
        <w:gridCol w:w="1080"/>
        <w:gridCol w:w="1080"/>
        <w:gridCol w:w="1080"/>
        <w:gridCol w:w="1080"/>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40" w:type="dxa"/>
            <w:vMerge w:val="restart"/>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工艺名称</w:t>
            </w:r>
          </w:p>
        </w:tc>
        <w:tc>
          <w:tcPr>
            <w:tcW w:w="15120" w:type="dxa"/>
            <w:gridSpan w:val="14"/>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40" w:type="dxa"/>
            <w:vMerge w:val="continue"/>
            <w:vAlign w:val="center"/>
          </w:tcPr>
          <w:p>
            <w:pPr>
              <w:widowControl/>
              <w:jc w:val="left"/>
              <w:rPr>
                <w:rFonts w:ascii="宋体" w:hAnsi="宋体" w:cs="宋体"/>
                <w:color w:val="000000"/>
                <w:kern w:val="0"/>
                <w:szCs w:val="21"/>
              </w:rPr>
            </w:pP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企业1</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企业2</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企业3</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企业4</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企业5</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企业6</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企业7</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企业8</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企业9</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企业10</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企业11</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企业12</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企业13</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4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原料选择</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约3千克的土鸭或白鸭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2.5千克的白鸭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约3千克的土鸭或白鸭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2.5千克的土鸭或白鸭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约3千克的土鸭或白鸭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2.5千克的土鸭或白鸭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2.5千克的土鸭或白鸭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约2.25千克的土鸭或白鸭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约2.5千克的土鸭或白鸭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约2.25千克的土鸭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2.5千克的土鸭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2.5千克的白鸭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2.5千克的土鸭或白鸭</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2.5千克的白鸭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84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预处理</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鸭块厚约1厘米；辣椒长约2厘米；姜条截面长约0.5厘米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鸭块厚0.8厘米；辣椒长2厘米；姜条截面长0.5厘米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鸭块厚约0.9厘米；辣椒长约2厘米；姜条截面长约0.6厘米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鸭块厚0.9厘米；辣椒长1.8厘米；姜条截面长0.5厘米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鸭块厚约1厘米；辣椒长约2厘米；姜条截面长约0.6厘米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鸭块厚0.8厘米；辣椒长2.2厘米；姜条截面长0.5厘米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鸭块厚0.8厘米；辣椒长2厘米；姜条截面长0.5厘米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鸭块厚约1厘米；辣椒长约2厘米；姜条截面长约0.5厘米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鸭块厚约1厘米；辣椒长约2厘米；姜条截面长约0.5厘米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鸭块厚约1厘米；辣椒长约2厘米；姜条截面长约0.5厘米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鸭块厚1厘米；辣椒长2厘米；姜条截面长0.6厘米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鸭块厚0.8厘米；辣椒长1.8厘米；姜条截面长0.5厘米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鸭块厚0.9厘米；辣椒长2厘米；姜条截面长0.5厘米</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鸭块厚0.9厘米；辣椒长1.8厘米；姜条截面长0.6厘米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84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烹煮</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爆炒约10秒；白酒约300克；清水约300克；焖煮约8分钟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爆炒10秒；白酒250克；清水300克；焖煮8分钟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爆炒约8秒；白酒约250克；清水约300克；焖煮约6分钟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爆炒8秒；白酒200克；清水200克；焖煮8分钟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爆炒约8秒；白酒约300克；清水约300克；焖煮约6分钟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爆炒10秒；白酒250克；清水300克；焖煮8分钟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爆炒8秒；白酒200克；清水300克；焖煮8分钟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爆炒约9秒；白酒约200克；清水约200克；焖煮约8分钟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爆炒约10秒；白酒约200克；清水约300克；焖煮约7分钟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爆炒约10秒；白酒约200克；清水约200克；焖煮约7分钟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爆炒8秒；白酒200克；清水300克；焖煮8分钟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爆炒10秒；白酒250克；清水250克；焖煮8分钟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爆炒8秒；白酒200克；清水200克；焖煮6分钟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爆炒10秒；白酒250克；清水300克；焖煮8分钟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4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炒制</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翻炒约5分钟；酱料约300克；爆炒约3分钟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翻炒6分钟；酱料250克；爆炒3.5分钟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翻炒约6分钟；酱料约300克；爆炒约3分钟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翻炒4分钟；酱料200克；爆炒2.5分钟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翻炒约6分钟；酱料约300克；爆炒约3.5分钟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翻炒6分钟；酱料250克；爆炒3分钟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翻炒5分钟；酱料250克；爆炒3分钟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翻炒约5分钟；酱料约200克；爆炒约3分钟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翻炒约5分钟；酱料约250克；爆炒约3分钟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翻炒约5分钟；酱料约200克；爆炒约3分钟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翻炒5分钟；酱料200克；爆炒2.5分钟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翻炒5分钟；酱料250克；爆炒3分钟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翻炒5分钟；酱料200克；爆炒3分钟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翻炒5分钟；酱料250克；爆炒3分钟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4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收汁出锅</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腌制酸柠檬约300克；翻炒约2.5分钟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腌制酸柠檬300克；翻炒2.5分钟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腌制酸柠檬约300克；翻炒约2.5分钟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腌制酸柠檬200克；翻炒1.5分钟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腌制酸柠檬约300克；翻炒约2.5分钟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腌制酸柠檬250克；翻炒2分钟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腌制酸柠檬300克；翻炒2.5分钟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腌制酸柠檬约200克；翻炒约2分钟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腌制酸柠檬约250克；翻炒约2.5分钟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腌制酸柠檬约200克；翻炒约2分钟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腌制酸柠檬200克；翻炒2分钟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腌制酸柠檬250克；翻炒2分钟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腌制酸柠檬200克；翻炒2分钟</w:t>
            </w:r>
          </w:p>
        </w:tc>
        <w:tc>
          <w:tcPr>
            <w:tcW w:w="1080" w:type="dxa"/>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腌制酸柠檬300克；翻炒2分钟</w:t>
            </w:r>
          </w:p>
        </w:tc>
      </w:tr>
    </w:tbl>
    <w:p>
      <w:pPr>
        <w:ind w:firstLine="640" w:firstLineChars="200"/>
        <w:rPr>
          <w:rFonts w:ascii="仿宋_GB2312" w:hAnsi="宋体" w:eastAsia="仿宋_GB2312"/>
          <w:sz w:val="32"/>
          <w:szCs w:val="32"/>
        </w:rPr>
      </w:pPr>
    </w:p>
    <w:p>
      <w:pPr>
        <w:spacing w:line="680" w:lineRule="exact"/>
        <w:jc w:val="center"/>
        <w:rPr>
          <w:rFonts w:ascii="仿宋_GB2312" w:eastAsia="仿宋_GB2312"/>
          <w:b/>
          <w:bCs/>
          <w:kern w:val="0"/>
          <w:sz w:val="30"/>
          <w:szCs w:val="30"/>
        </w:rPr>
      </w:pPr>
      <w:r>
        <w:rPr>
          <w:rFonts w:hint="eastAsia" w:ascii="仿宋_GB2312" w:eastAsia="仿宋_GB2312"/>
          <w:b/>
          <w:bCs/>
          <w:kern w:val="0"/>
          <w:sz w:val="30"/>
          <w:szCs w:val="30"/>
        </w:rPr>
        <w:t>表2 原料配比用量表</w:t>
      </w:r>
    </w:p>
    <w:tbl>
      <w:tblPr>
        <w:tblStyle w:val="6"/>
        <w:tblW w:w="5100" w:type="pct"/>
        <w:tblInd w:w="-279" w:type="dxa"/>
        <w:tblLayout w:type="autofit"/>
        <w:tblCellMar>
          <w:top w:w="0" w:type="dxa"/>
          <w:left w:w="0" w:type="dxa"/>
          <w:bottom w:w="0" w:type="dxa"/>
          <w:right w:w="0" w:type="dxa"/>
        </w:tblCellMar>
      </w:tblPr>
      <w:tblGrid>
        <w:gridCol w:w="606"/>
        <w:gridCol w:w="785"/>
        <w:gridCol w:w="1025"/>
        <w:gridCol w:w="1031"/>
        <w:gridCol w:w="1031"/>
        <w:gridCol w:w="1031"/>
        <w:gridCol w:w="1031"/>
        <w:gridCol w:w="1031"/>
        <w:gridCol w:w="1031"/>
        <w:gridCol w:w="1028"/>
        <w:gridCol w:w="1028"/>
        <w:gridCol w:w="1037"/>
        <w:gridCol w:w="1022"/>
        <w:gridCol w:w="1012"/>
        <w:gridCol w:w="1003"/>
        <w:gridCol w:w="984"/>
      </w:tblGrid>
      <w:tr>
        <w:tblPrEx>
          <w:tblCellMar>
            <w:top w:w="0" w:type="dxa"/>
            <w:left w:w="0" w:type="dxa"/>
            <w:bottom w:w="0" w:type="dxa"/>
            <w:right w:w="0" w:type="dxa"/>
          </w:tblCellMar>
        </w:tblPrEx>
        <w:trPr>
          <w:trHeight w:val="352" w:hRule="atLeast"/>
        </w:trPr>
        <w:tc>
          <w:tcPr>
            <w:tcW w:w="193" w:type="pct"/>
            <w:vMerge w:val="restart"/>
            <w:tcBorders>
              <w:top w:val="single" w:color="000000" w:sz="8" w:space="0"/>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原料类别</w:t>
            </w:r>
          </w:p>
        </w:tc>
        <w:tc>
          <w:tcPr>
            <w:tcW w:w="250" w:type="pct"/>
            <w:vMerge w:val="restart"/>
            <w:tcBorders>
              <w:top w:val="single" w:color="000000" w:sz="8" w:space="0"/>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名称</w:t>
            </w:r>
          </w:p>
        </w:tc>
        <w:tc>
          <w:tcPr>
            <w:tcW w:w="4557" w:type="pct"/>
            <w:gridSpan w:val="14"/>
            <w:tcBorders>
              <w:top w:val="single" w:color="000000" w:sz="8" w:space="0"/>
              <w:left w:val="single" w:color="000000" w:sz="4" w:space="0"/>
              <w:bottom w:val="single" w:color="000000" w:sz="8"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重量（g)</w:t>
            </w:r>
          </w:p>
        </w:tc>
      </w:tr>
      <w:tr>
        <w:tblPrEx>
          <w:tblCellMar>
            <w:top w:w="0" w:type="dxa"/>
            <w:left w:w="0" w:type="dxa"/>
            <w:bottom w:w="0" w:type="dxa"/>
            <w:right w:w="0" w:type="dxa"/>
          </w:tblCellMar>
        </w:tblPrEx>
        <w:trPr>
          <w:trHeight w:val="351" w:hRule="atLeast"/>
        </w:trPr>
        <w:tc>
          <w:tcPr>
            <w:tcW w:w="193" w:type="pct"/>
            <w:vMerge w:val="continue"/>
            <w:tcBorders>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p>
        </w:tc>
        <w:tc>
          <w:tcPr>
            <w:tcW w:w="250" w:type="pct"/>
            <w:vMerge w:val="continue"/>
            <w:tcBorders>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p>
        </w:tc>
        <w:tc>
          <w:tcPr>
            <w:tcW w:w="326" w:type="pct"/>
            <w:tcBorders>
              <w:top w:val="single" w:color="000000" w:sz="8" w:space="0"/>
              <w:left w:val="single" w:color="000000" w:sz="4" w:space="0"/>
              <w:bottom w:val="single" w:color="000000" w:sz="8"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企业1</w:t>
            </w:r>
          </w:p>
        </w:tc>
        <w:tc>
          <w:tcPr>
            <w:tcW w:w="328"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企业2</w:t>
            </w:r>
          </w:p>
        </w:tc>
        <w:tc>
          <w:tcPr>
            <w:tcW w:w="328"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企业3</w:t>
            </w:r>
          </w:p>
        </w:tc>
        <w:tc>
          <w:tcPr>
            <w:tcW w:w="328"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企业4</w:t>
            </w:r>
          </w:p>
        </w:tc>
        <w:tc>
          <w:tcPr>
            <w:tcW w:w="328"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企业5</w:t>
            </w:r>
          </w:p>
        </w:tc>
        <w:tc>
          <w:tcPr>
            <w:tcW w:w="328"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企业6</w:t>
            </w:r>
          </w:p>
        </w:tc>
        <w:tc>
          <w:tcPr>
            <w:tcW w:w="328"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企业7</w:t>
            </w:r>
          </w:p>
        </w:tc>
        <w:tc>
          <w:tcPr>
            <w:tcW w:w="327"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企业8</w:t>
            </w:r>
          </w:p>
        </w:tc>
        <w:tc>
          <w:tcPr>
            <w:tcW w:w="327"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企业9</w:t>
            </w:r>
          </w:p>
        </w:tc>
        <w:tc>
          <w:tcPr>
            <w:tcW w:w="330"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企业10</w:t>
            </w:r>
          </w:p>
        </w:tc>
        <w:tc>
          <w:tcPr>
            <w:tcW w:w="325"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企业11</w:t>
            </w:r>
          </w:p>
        </w:tc>
        <w:tc>
          <w:tcPr>
            <w:tcW w:w="322"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企业12</w:t>
            </w:r>
          </w:p>
        </w:tc>
        <w:tc>
          <w:tcPr>
            <w:tcW w:w="319"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企业13</w:t>
            </w:r>
          </w:p>
        </w:tc>
        <w:tc>
          <w:tcPr>
            <w:tcW w:w="313" w:type="pct"/>
            <w:tcBorders>
              <w:top w:val="single" w:color="000000" w:sz="8"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企业14</w:t>
            </w:r>
          </w:p>
        </w:tc>
      </w:tr>
      <w:tr>
        <w:tblPrEx>
          <w:tblCellMar>
            <w:top w:w="0" w:type="dxa"/>
            <w:left w:w="0" w:type="dxa"/>
            <w:bottom w:w="0" w:type="dxa"/>
            <w:right w:w="0" w:type="dxa"/>
          </w:tblCellMar>
        </w:tblPrEx>
        <w:trPr>
          <w:trHeight w:val="375" w:hRule="atLeast"/>
        </w:trPr>
        <w:tc>
          <w:tcPr>
            <w:tcW w:w="193"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主料</w:t>
            </w:r>
          </w:p>
        </w:tc>
        <w:tc>
          <w:tcPr>
            <w:tcW w:w="250"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鸭</w:t>
            </w:r>
          </w:p>
        </w:tc>
        <w:tc>
          <w:tcPr>
            <w:tcW w:w="326" w:type="pct"/>
            <w:tcBorders>
              <w:top w:val="nil"/>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28"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28"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28"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1900</w:t>
            </w:r>
          </w:p>
        </w:tc>
        <w:tc>
          <w:tcPr>
            <w:tcW w:w="328"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28"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2100</w:t>
            </w:r>
          </w:p>
        </w:tc>
        <w:tc>
          <w:tcPr>
            <w:tcW w:w="328"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27"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27"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30"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25"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22"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c>
          <w:tcPr>
            <w:tcW w:w="319"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1900</w:t>
            </w:r>
          </w:p>
        </w:tc>
        <w:tc>
          <w:tcPr>
            <w:tcW w:w="313" w:type="pct"/>
            <w:tcBorders>
              <w:top w:val="nil"/>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2000</w:t>
            </w:r>
          </w:p>
        </w:tc>
      </w:tr>
      <w:tr>
        <w:tblPrEx>
          <w:tblCellMar>
            <w:top w:w="0" w:type="dxa"/>
            <w:left w:w="0" w:type="dxa"/>
            <w:bottom w:w="0" w:type="dxa"/>
            <w:right w:w="0" w:type="dxa"/>
          </w:tblCellMar>
        </w:tblPrEx>
        <w:trPr>
          <w:trHeight w:val="349" w:hRule="atLeast"/>
        </w:trPr>
        <w:tc>
          <w:tcPr>
            <w:tcW w:w="193" w:type="pct"/>
            <w:vMerge w:val="restart"/>
            <w:tcBorders>
              <w:top w:val="single" w:color="000000" w:sz="4" w:space="0"/>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辅料</w:t>
            </w: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腌制酸柠檬</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r>
      <w:tr>
        <w:tblPrEx>
          <w:tblCellMar>
            <w:top w:w="0" w:type="dxa"/>
            <w:left w:w="0" w:type="dxa"/>
            <w:bottom w:w="0" w:type="dxa"/>
            <w:right w:w="0" w:type="dxa"/>
          </w:tblCellMar>
        </w:tblPrEx>
        <w:trPr>
          <w:trHeight w:val="366"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生姜</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r>
      <w:tr>
        <w:tblPrEx>
          <w:tblCellMar>
            <w:top w:w="0" w:type="dxa"/>
            <w:left w:w="0" w:type="dxa"/>
            <w:bottom w:w="0" w:type="dxa"/>
            <w:right w:w="0" w:type="dxa"/>
          </w:tblCellMar>
        </w:tblPrEx>
        <w:trPr>
          <w:trHeight w:val="366"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蒜米</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r>
      <w:tr>
        <w:tblPrEx>
          <w:tblCellMar>
            <w:top w:w="0" w:type="dxa"/>
            <w:left w:w="0" w:type="dxa"/>
            <w:bottom w:w="0" w:type="dxa"/>
            <w:right w:w="0" w:type="dxa"/>
          </w:tblCellMar>
        </w:tblPrEx>
        <w:trPr>
          <w:trHeight w:val="366"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腌制酸辣椒</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150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r>
      <w:tr>
        <w:tblPrEx>
          <w:tblCellMar>
            <w:top w:w="0" w:type="dxa"/>
            <w:left w:w="0" w:type="dxa"/>
            <w:bottom w:w="0" w:type="dxa"/>
            <w:right w:w="0" w:type="dxa"/>
          </w:tblCellMar>
        </w:tblPrEx>
        <w:trPr>
          <w:trHeight w:val="366"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白酒</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r>
      <w:tr>
        <w:tblPrEx>
          <w:tblCellMar>
            <w:top w:w="0" w:type="dxa"/>
            <w:left w:w="0" w:type="dxa"/>
            <w:bottom w:w="0" w:type="dxa"/>
            <w:right w:w="0" w:type="dxa"/>
          </w:tblCellMar>
        </w:tblPrEx>
        <w:trPr>
          <w:trHeight w:val="366"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酱油</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120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120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120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120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120</w:t>
            </w:r>
          </w:p>
        </w:tc>
      </w:tr>
      <w:tr>
        <w:tblPrEx>
          <w:tblCellMar>
            <w:top w:w="0" w:type="dxa"/>
            <w:left w:w="0" w:type="dxa"/>
            <w:bottom w:w="0" w:type="dxa"/>
            <w:right w:w="0" w:type="dxa"/>
          </w:tblCellMar>
        </w:tblPrEx>
        <w:trPr>
          <w:trHeight w:val="366"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腐乳</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90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90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90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100</w:t>
            </w:r>
          </w:p>
        </w:tc>
      </w:tr>
      <w:tr>
        <w:tblPrEx>
          <w:tblCellMar>
            <w:top w:w="0" w:type="dxa"/>
            <w:left w:w="0" w:type="dxa"/>
            <w:bottom w:w="0" w:type="dxa"/>
            <w:right w:w="0" w:type="dxa"/>
          </w:tblCellMar>
        </w:tblPrEx>
        <w:trPr>
          <w:trHeight w:val="366"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黄皮酱</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70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70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r>
      <w:tr>
        <w:tblPrEx>
          <w:tblCellMar>
            <w:top w:w="0" w:type="dxa"/>
            <w:left w:w="0" w:type="dxa"/>
            <w:bottom w:w="0" w:type="dxa"/>
            <w:right w:w="0" w:type="dxa"/>
          </w:tblCellMar>
        </w:tblPrEx>
        <w:trPr>
          <w:trHeight w:val="366"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白砂糖</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70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70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70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60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80</w:t>
            </w:r>
          </w:p>
        </w:tc>
      </w:tr>
      <w:tr>
        <w:tblPrEx>
          <w:tblCellMar>
            <w:top w:w="0" w:type="dxa"/>
            <w:left w:w="0" w:type="dxa"/>
            <w:bottom w:w="0" w:type="dxa"/>
            <w:right w:w="0" w:type="dxa"/>
          </w:tblCellMar>
        </w:tblPrEx>
        <w:trPr>
          <w:trHeight w:val="366"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白胡椒</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14</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12</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14</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12</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12</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14</w:t>
            </w:r>
          </w:p>
        </w:tc>
      </w:tr>
      <w:tr>
        <w:tblPrEx>
          <w:tblCellMar>
            <w:top w:w="0" w:type="dxa"/>
            <w:left w:w="0" w:type="dxa"/>
            <w:bottom w:w="0" w:type="dxa"/>
            <w:right w:w="0" w:type="dxa"/>
          </w:tblCellMar>
        </w:tblPrEx>
        <w:trPr>
          <w:trHeight w:val="392" w:hRule="atLeast"/>
        </w:trPr>
        <w:tc>
          <w:tcPr>
            <w:tcW w:w="193" w:type="pct"/>
            <w:vMerge w:val="continue"/>
            <w:tcBorders>
              <w:left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植物油</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7"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30"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5"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2"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9"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3" w:type="pct"/>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r>
      <w:tr>
        <w:tblPrEx>
          <w:tblCellMar>
            <w:top w:w="0" w:type="dxa"/>
            <w:left w:w="0" w:type="dxa"/>
            <w:bottom w:w="0" w:type="dxa"/>
            <w:right w:w="0" w:type="dxa"/>
          </w:tblCellMar>
        </w:tblPrEx>
        <w:trPr>
          <w:trHeight w:val="392" w:hRule="atLeast"/>
        </w:trPr>
        <w:tc>
          <w:tcPr>
            <w:tcW w:w="193" w:type="pct"/>
            <w:vMerge w:val="continue"/>
            <w:tcBorders>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18"/>
                <w:szCs w:val="22"/>
                <w:lang w:bidi="ar"/>
              </w:rPr>
            </w:pPr>
          </w:p>
        </w:tc>
        <w:tc>
          <w:tcPr>
            <w:tcW w:w="250"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水</w:t>
            </w:r>
          </w:p>
        </w:tc>
        <w:tc>
          <w:tcPr>
            <w:tcW w:w="326"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8"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8"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28"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7"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7"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c>
          <w:tcPr>
            <w:tcW w:w="330"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250</w:t>
            </w:r>
          </w:p>
        </w:tc>
        <w:tc>
          <w:tcPr>
            <w:tcW w:w="325"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22"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9"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200</w:t>
            </w:r>
          </w:p>
        </w:tc>
        <w:tc>
          <w:tcPr>
            <w:tcW w:w="313" w:type="pct"/>
            <w:tcBorders>
              <w:top w:val="single" w:color="000000" w:sz="4" w:space="0"/>
              <w:left w:val="single" w:color="000000" w:sz="4" w:space="0"/>
              <w:bottom w:val="single" w:color="000000" w:sz="8" w:space="0"/>
              <w:right w:val="single" w:color="000000" w:sz="4" w:space="0"/>
            </w:tcBorders>
            <w:vAlign w:val="center"/>
          </w:tcPr>
          <w:p>
            <w:pPr>
              <w:widowControl/>
              <w:adjustRightInd w:val="0"/>
              <w:jc w:val="center"/>
              <w:textAlignment w:val="center"/>
              <w:rPr>
                <w:rFonts w:ascii="仿宋_GB2312" w:hAnsi="宋体" w:eastAsia="仿宋_GB2312" w:cs="宋体"/>
                <w:bCs/>
                <w:color w:val="000000"/>
                <w:kern w:val="0"/>
                <w:sz w:val="22"/>
                <w:szCs w:val="22"/>
              </w:rPr>
            </w:pPr>
            <w:r>
              <w:rPr>
                <w:rFonts w:hint="eastAsia" w:ascii="仿宋_GB2312" w:hAnsi="宋体" w:eastAsia="仿宋_GB2312" w:cs="宋体"/>
                <w:bCs/>
                <w:color w:val="000000"/>
                <w:kern w:val="0"/>
                <w:sz w:val="22"/>
                <w:szCs w:val="22"/>
              </w:rPr>
              <w:t>300</w:t>
            </w:r>
          </w:p>
        </w:tc>
      </w:tr>
    </w:tbl>
    <w:p>
      <w:pPr>
        <w:ind w:firstLine="640" w:firstLineChars="200"/>
        <w:rPr>
          <w:rFonts w:ascii="仿宋_GB2312" w:hAnsi="宋体" w:eastAsia="仿宋_GB2312"/>
          <w:sz w:val="32"/>
          <w:szCs w:val="32"/>
          <w:lang w:val="zh-CN"/>
        </w:rPr>
      </w:pPr>
    </w:p>
    <w:p>
      <w:pPr>
        <w:ind w:firstLine="640" w:firstLineChars="200"/>
        <w:rPr>
          <w:rFonts w:ascii="仿宋_GB2312" w:hAnsi="宋体" w:eastAsia="仿宋_GB2312"/>
          <w:sz w:val="32"/>
          <w:szCs w:val="32"/>
          <w:lang w:val="zh-CN"/>
        </w:rPr>
        <w:sectPr>
          <w:pgSz w:w="16838" w:h="11906" w:orient="landscape"/>
          <w:pgMar w:top="720" w:right="720" w:bottom="720" w:left="720" w:header="851" w:footer="992" w:gutter="0"/>
          <w:cols w:space="425" w:num="1"/>
          <w:docGrid w:type="lines" w:linePitch="312" w:charSpace="0"/>
        </w:sectPr>
      </w:pP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具体分析如下：</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（1）从主料的选择上，由表3可以看出，不同餐饮企业选择的鸭子种类和重量基本一致。鸭子的种类主要为麻鸭和白鸭（也叫樱桃鸭），鸭子的重量在2</w:t>
      </w:r>
      <w:r>
        <w:rPr>
          <w:rFonts w:ascii="仿宋_GB2312" w:hAnsi="宋体" w:eastAsia="仿宋_GB2312"/>
          <w:sz w:val="32"/>
          <w:szCs w:val="32"/>
          <w:lang w:val="zh-CN"/>
        </w:rPr>
        <w:t>.25kg</w:t>
      </w:r>
      <w:r>
        <w:rPr>
          <w:rFonts w:hint="eastAsia" w:ascii="仿宋_GB2312" w:hAnsi="宋体" w:eastAsia="仿宋_GB2312"/>
          <w:sz w:val="32"/>
          <w:szCs w:val="32"/>
          <w:lang w:val="zh-CN"/>
        </w:rPr>
        <w:t>至3</w:t>
      </w:r>
      <w:r>
        <w:rPr>
          <w:rFonts w:ascii="仿宋_GB2312" w:hAnsi="宋体" w:eastAsia="仿宋_GB2312"/>
          <w:sz w:val="32"/>
          <w:szCs w:val="32"/>
          <w:lang w:val="zh-CN"/>
        </w:rPr>
        <w:t>.00</w:t>
      </w:r>
      <w:r>
        <w:rPr>
          <w:rFonts w:hint="eastAsia" w:ascii="仿宋_GB2312" w:hAnsi="宋体" w:eastAsia="仿宋_GB2312"/>
          <w:sz w:val="32"/>
          <w:szCs w:val="32"/>
          <w:lang w:val="zh-CN"/>
        </w:rPr>
        <w:t>kg之间，考虑到不同饲养企业不同鸭子个体在生长上存在差异，因此，本文要求鸭子的重量在2</w:t>
      </w:r>
      <w:r>
        <w:rPr>
          <w:rFonts w:ascii="仿宋_GB2312" w:hAnsi="宋体" w:eastAsia="仿宋_GB2312"/>
          <w:sz w:val="32"/>
          <w:szCs w:val="32"/>
          <w:lang w:val="zh-CN"/>
        </w:rPr>
        <w:t>.25kg</w:t>
      </w:r>
      <w:r>
        <w:rPr>
          <w:rFonts w:hint="eastAsia" w:ascii="仿宋_GB2312" w:hAnsi="宋体" w:eastAsia="仿宋_GB2312"/>
          <w:sz w:val="32"/>
          <w:szCs w:val="32"/>
          <w:lang w:val="zh-CN"/>
        </w:rPr>
        <w:t>至3</w:t>
      </w:r>
      <w:r>
        <w:rPr>
          <w:rFonts w:ascii="仿宋_GB2312" w:hAnsi="宋体" w:eastAsia="仿宋_GB2312"/>
          <w:sz w:val="32"/>
          <w:szCs w:val="32"/>
          <w:lang w:val="zh-CN"/>
        </w:rPr>
        <w:t>.00</w:t>
      </w:r>
      <w:r>
        <w:rPr>
          <w:rFonts w:hint="eastAsia" w:ascii="仿宋_GB2312" w:hAnsi="宋体" w:eastAsia="仿宋_GB2312"/>
          <w:sz w:val="32"/>
          <w:szCs w:val="32"/>
          <w:lang w:val="zh-CN"/>
        </w:rPr>
        <w:t>kg之间即可，但要强调鸭子为广西本地农家散养青壮鸭，即未成年（换毛）的鸭子，这种鸭子肉质更鲜嫩可口，成年后鸭肉变柴。此外，为保障食品安全，要求待宰的鸭应健康良好，并附有产地动物卫生监督机构出具的动物检疫合格证明，经宰杀后的肉产品应符合GB 2707《食品安全国家标准  鲜（冻）畜、禽产品》的规定。其他原材料符合相关标准要求，在此不进行一一陈述。</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（2）在预处理上，由表3可以看出，不同餐饮企业对原材料规格的要求基本一致。鸭肉的厚度在0.8 cm～1.0 cm之间，酸辣椒的长度在1.8 cm～2.2 cm之间，姜条截面长宽在0.5 cm～0.6 cm之间。通过实地考察调研和召集业内相关美食大厨讨论，一致认为上述材料的大小区间是厨房开刀师傅较为容易掌控的范围，且大小适合进行炒制，建议按照上述材料的大小区间进行规定，因此本文件要求，鸭肉的厚度在0.8 cm～1.0 cm，酸辣椒的长度在1.8 cm～2.2 cm，姜条截面长宽在0.5 cm～0.6 cm。</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3）在烹煮上，调研发现，在炒制鸭肉前，需要进行焖煮，而焖煮前需要对加入的辅料进行爆炒，以激发辅料的香味。辅料包括生姜、腌制酸辣椒、蒜米，调料为植物油。由表3可以看出，不同餐饮企业烹煮的工艺掌控基本一致。辅料爆炒时间在8s～</w:t>
      </w:r>
      <w:r>
        <w:rPr>
          <w:rFonts w:ascii="仿宋_GB2312" w:hAnsi="宋体" w:eastAsia="仿宋_GB2312"/>
          <w:sz w:val="32"/>
          <w:szCs w:val="32"/>
          <w:lang w:val="zh-CN"/>
        </w:rPr>
        <w:t>12</w:t>
      </w:r>
      <w:r>
        <w:rPr>
          <w:rFonts w:hint="eastAsia" w:ascii="仿宋_GB2312" w:hAnsi="宋体" w:eastAsia="仿宋_GB2312"/>
          <w:sz w:val="32"/>
          <w:szCs w:val="32"/>
          <w:lang w:val="zh-CN"/>
        </w:rPr>
        <w:t>s，加入白酒的质量在2</w:t>
      </w:r>
      <w:r>
        <w:rPr>
          <w:rFonts w:ascii="仿宋_GB2312" w:hAnsi="宋体" w:eastAsia="仿宋_GB2312"/>
          <w:sz w:val="32"/>
          <w:szCs w:val="32"/>
          <w:lang w:val="zh-CN"/>
        </w:rPr>
        <w:t>00g</w:t>
      </w:r>
      <w:r>
        <w:rPr>
          <w:rFonts w:hint="eastAsia" w:ascii="仿宋_GB2312" w:hAnsi="宋体" w:eastAsia="仿宋_GB2312"/>
          <w:sz w:val="32"/>
          <w:szCs w:val="32"/>
          <w:lang w:val="zh-CN"/>
        </w:rPr>
        <w:t>～3</w:t>
      </w:r>
      <w:r>
        <w:rPr>
          <w:rFonts w:ascii="仿宋_GB2312" w:hAnsi="宋体" w:eastAsia="仿宋_GB2312"/>
          <w:sz w:val="32"/>
          <w:szCs w:val="32"/>
          <w:lang w:val="zh-CN"/>
        </w:rPr>
        <w:t>00g</w:t>
      </w:r>
      <w:r>
        <w:rPr>
          <w:rFonts w:hint="eastAsia" w:ascii="仿宋_GB2312" w:hAnsi="宋体" w:eastAsia="仿宋_GB2312"/>
          <w:sz w:val="32"/>
          <w:szCs w:val="32"/>
          <w:lang w:val="zh-CN"/>
        </w:rPr>
        <w:t>之间，清水在2</w:t>
      </w:r>
      <w:r>
        <w:rPr>
          <w:rFonts w:ascii="仿宋_GB2312" w:hAnsi="宋体" w:eastAsia="仿宋_GB2312"/>
          <w:sz w:val="32"/>
          <w:szCs w:val="32"/>
          <w:lang w:val="zh-CN"/>
        </w:rPr>
        <w:t>00g</w:t>
      </w:r>
      <w:r>
        <w:rPr>
          <w:rFonts w:hint="eastAsia" w:ascii="仿宋_GB2312" w:hAnsi="宋体" w:eastAsia="仿宋_GB2312"/>
          <w:sz w:val="32"/>
          <w:szCs w:val="32"/>
          <w:lang w:val="zh-CN"/>
        </w:rPr>
        <w:t>～3</w:t>
      </w:r>
      <w:r>
        <w:rPr>
          <w:rFonts w:ascii="仿宋_GB2312" w:hAnsi="宋体" w:eastAsia="仿宋_GB2312"/>
          <w:sz w:val="32"/>
          <w:szCs w:val="32"/>
          <w:lang w:val="zh-CN"/>
        </w:rPr>
        <w:t>00g</w:t>
      </w:r>
      <w:r>
        <w:rPr>
          <w:rFonts w:hint="eastAsia" w:ascii="仿宋_GB2312" w:hAnsi="宋体" w:eastAsia="仿宋_GB2312"/>
          <w:sz w:val="32"/>
          <w:szCs w:val="32"/>
          <w:lang w:val="zh-CN"/>
        </w:rPr>
        <w:t>之间，焖煮的时间在6min～8min之间。通过实地考察调研和召集业内相关美食大厨讨论，一致认为在辅料使用和烹饪时间上，应该给予一定的范围量，这样更便于厨师的烹饪，且上述指标范围在炒制柠檬鸭方面是比较合适的，因此，本文件要求锅中倒入植物油，加入生姜、腌制酸辣椒、蒜米炒爆（10±2）s，炒出香味后倒入砍好的鸭块，加入白酒（250±50）g、清水（250±50）g，加盖焖煮（7±1）min。</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4）炒制是广西柠檬鸭制作的核心工艺，也是体现其味道的重要工艺，其炒制的特点主要控制好中火翻炒和大伙颠锅爆炒两个方面，中火翻炒主要是浓缩料汁和去味，而大伙颠锅爆炒主要是为了让味道迅速锁在食材上面，因此爆炒时间相对翻炒时间短。由表3可以看出，不同餐饮企业炒制的工艺要求基本一致。中火翻炒时间在4min～</w:t>
      </w:r>
      <w:r>
        <w:rPr>
          <w:rFonts w:ascii="仿宋_GB2312" w:hAnsi="宋体" w:eastAsia="仿宋_GB2312"/>
          <w:sz w:val="32"/>
          <w:szCs w:val="32"/>
          <w:lang w:val="zh-CN"/>
        </w:rPr>
        <w:t>6</w:t>
      </w:r>
      <w:r>
        <w:rPr>
          <w:rFonts w:hint="eastAsia" w:ascii="仿宋_GB2312" w:hAnsi="宋体" w:eastAsia="仿宋_GB2312"/>
          <w:sz w:val="32"/>
          <w:szCs w:val="32"/>
          <w:lang w:val="zh-CN"/>
        </w:rPr>
        <w:t>min之间，大伙颠锅爆炒时间在2</w:t>
      </w:r>
      <w:r>
        <w:rPr>
          <w:rFonts w:ascii="仿宋_GB2312" w:hAnsi="宋体" w:eastAsia="仿宋_GB2312"/>
          <w:sz w:val="32"/>
          <w:szCs w:val="32"/>
          <w:lang w:val="zh-CN"/>
        </w:rPr>
        <w:t>.5</w:t>
      </w:r>
      <w:r>
        <w:rPr>
          <w:rFonts w:hint="eastAsia" w:ascii="仿宋_GB2312" w:hAnsi="宋体" w:eastAsia="仿宋_GB2312"/>
          <w:sz w:val="32"/>
          <w:szCs w:val="32"/>
          <w:lang w:val="zh-CN"/>
        </w:rPr>
        <w:t>min～3</w:t>
      </w:r>
      <w:r>
        <w:rPr>
          <w:rFonts w:ascii="仿宋_GB2312" w:hAnsi="宋体" w:eastAsia="仿宋_GB2312"/>
          <w:sz w:val="32"/>
          <w:szCs w:val="32"/>
          <w:lang w:val="zh-CN"/>
        </w:rPr>
        <w:t>.5</w:t>
      </w:r>
      <w:r>
        <w:rPr>
          <w:rFonts w:hint="eastAsia" w:ascii="仿宋_GB2312" w:hAnsi="宋体" w:eastAsia="仿宋_GB2312"/>
          <w:sz w:val="32"/>
          <w:szCs w:val="32"/>
          <w:lang w:val="zh-CN"/>
        </w:rPr>
        <w:t>min之间。通过实地考察调研和召集业内相关美食大厨讨论，一致认为在炒制时间上，应该给予一定的范围量，这样更便于厨师的操作，且上述指标范围在炒制柠檬鸭方面是比较合适的。因此，本文件要求烹煮后的食材中火翻炒（5±1）min，炒至图</w:t>
      </w:r>
      <w:r>
        <w:rPr>
          <w:rFonts w:ascii="仿宋_GB2312" w:hAnsi="宋体" w:eastAsia="仿宋_GB2312"/>
          <w:sz w:val="32"/>
          <w:szCs w:val="32"/>
          <w:lang w:val="zh-CN"/>
        </w:rPr>
        <w:t>4</w:t>
      </w:r>
      <w:r>
        <w:rPr>
          <w:rFonts w:hint="eastAsia" w:ascii="仿宋_GB2312" w:hAnsi="宋体" w:eastAsia="仿宋_GB2312"/>
          <w:sz w:val="32"/>
          <w:szCs w:val="32"/>
          <w:lang w:val="zh-CN"/>
        </w:rPr>
        <w:t>的状态时加入调制好的酱料（250±50）g，大火颠锅爆炒（3±0.5）min。需要注意的是，柠檬鸭在炒制过程中，由于鸭皮脂肪和蛋白的蒸出、浓缩，容易造成粘锅，因此，建议厨师要关注该类情况，如锅底产生糊斑则换锅后再继续炒制。</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48" w:type="dxa"/>
          </w:tcPr>
          <w:p>
            <w:pPr>
              <w:autoSpaceDE w:val="0"/>
              <w:autoSpaceDN w:val="0"/>
              <w:adjustRightInd w:val="0"/>
              <w:spacing w:before="156" w:beforeLines="50" w:after="156" w:afterLines="50" w:line="560" w:lineRule="exact"/>
              <w:jc w:val="center"/>
              <w:rPr>
                <w:rFonts w:ascii="仿宋_GB2312" w:hAnsi="宋体" w:eastAsia="仿宋_GB2312"/>
                <w:sz w:val="32"/>
                <w:szCs w:val="32"/>
                <w:lang w:val="zh-CN"/>
              </w:rPr>
            </w:pPr>
            <w:r>
              <w:rPr>
                <w:rFonts w:hint="eastAsia"/>
              </w:rPr>
              <w:drawing>
                <wp:anchor distT="0" distB="0" distL="114300" distR="114300" simplePos="0" relativeHeight="251659264" behindDoc="0" locked="0" layoutInCell="1" allowOverlap="1">
                  <wp:simplePos x="0" y="0"/>
                  <wp:positionH relativeFrom="column">
                    <wp:posOffset>1182370</wp:posOffset>
                  </wp:positionH>
                  <wp:positionV relativeFrom="paragraph">
                    <wp:posOffset>0</wp:posOffset>
                  </wp:positionV>
                  <wp:extent cx="3175000" cy="4762500"/>
                  <wp:effectExtent l="0" t="0" r="6985" b="635"/>
                  <wp:wrapSquare wrapText="bothSides"/>
                  <wp:docPr id="43" name="图片 43" descr="没加调料前充分翻炒结束食品状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没加调料前充分翻炒结束食品状态"/>
                          <pic:cNvPicPr>
                            <a:picLocks noChangeAspect="1"/>
                          </pic:cNvPicPr>
                        </pic:nvPicPr>
                        <pic:blipFill>
                          <a:blip r:embed="rId9"/>
                          <a:stretch>
                            <a:fillRect/>
                          </a:stretch>
                        </pic:blipFill>
                        <pic:spPr>
                          <a:xfrm>
                            <a:off x="0" y="0"/>
                            <a:ext cx="3174796" cy="4762195"/>
                          </a:xfrm>
                          <a:prstGeom prst="rect">
                            <a:avLst/>
                          </a:prstGeom>
                        </pic:spPr>
                      </pic:pic>
                    </a:graphicData>
                  </a:graphic>
                </wp:anchor>
              </w:drawing>
            </w:r>
          </w:p>
        </w:tc>
      </w:tr>
    </w:tbl>
    <w:p>
      <w:pPr>
        <w:autoSpaceDE w:val="0"/>
        <w:autoSpaceDN w:val="0"/>
        <w:adjustRightInd w:val="0"/>
        <w:spacing w:before="156" w:beforeLines="50" w:after="156" w:afterLines="50" w:line="560" w:lineRule="exact"/>
        <w:ind w:firstLine="643" w:firstLineChars="200"/>
        <w:jc w:val="center"/>
        <w:rPr>
          <w:rFonts w:ascii="仿宋_GB2312" w:hAnsi="宋体" w:eastAsia="仿宋_GB2312"/>
          <w:b/>
          <w:bCs/>
          <w:sz w:val="32"/>
          <w:szCs w:val="32"/>
          <w:lang w:val="zh-CN"/>
        </w:rPr>
      </w:pPr>
      <w:r>
        <w:rPr>
          <w:rFonts w:hint="eastAsia" w:ascii="仿宋_GB2312" w:hAnsi="宋体" w:eastAsia="仿宋_GB2312"/>
          <w:b/>
          <w:bCs/>
          <w:sz w:val="32"/>
          <w:szCs w:val="32"/>
          <w:lang w:val="zh-CN"/>
        </w:rPr>
        <w:t>图4</w:t>
      </w:r>
      <w:r>
        <w:rPr>
          <w:rFonts w:ascii="仿宋_GB2312" w:hAnsi="宋体" w:eastAsia="仿宋_GB2312"/>
          <w:b/>
          <w:bCs/>
          <w:sz w:val="32"/>
          <w:szCs w:val="32"/>
          <w:lang w:val="zh-CN"/>
        </w:rPr>
        <w:t xml:space="preserve"> </w:t>
      </w:r>
      <w:r>
        <w:rPr>
          <w:rFonts w:hint="eastAsia" w:ascii="仿宋_GB2312" w:hAnsi="宋体" w:eastAsia="仿宋_GB2312"/>
          <w:b/>
          <w:bCs/>
          <w:sz w:val="32"/>
          <w:szCs w:val="32"/>
          <w:lang w:val="zh-CN"/>
        </w:rPr>
        <w:t>没加调料前充分翻炒结束食品状态参考图</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5）收汁出锅是锁定美食出品感官形态的重要工序。对于广西柠檬鸭炒制而言，在炒制之后，除了需要收汁，还有一道最核心的工艺就是加入柠檬，这也是体现广西壮族酸辣咸香特色的风味的主要工艺。由表3可以看出，不同餐饮企业收汁出锅的工艺要求基本一致。在炒制后均需要加入柠檬，加入量在2</w:t>
      </w:r>
      <w:r>
        <w:rPr>
          <w:rFonts w:ascii="仿宋_GB2312" w:hAnsi="宋体" w:eastAsia="仿宋_GB2312"/>
          <w:sz w:val="32"/>
          <w:szCs w:val="32"/>
          <w:lang w:val="zh-CN"/>
        </w:rPr>
        <w:t>00g</w:t>
      </w:r>
      <w:r>
        <w:rPr>
          <w:rFonts w:hint="eastAsia" w:ascii="仿宋_GB2312" w:hAnsi="宋体" w:eastAsia="仿宋_GB2312"/>
          <w:sz w:val="32"/>
          <w:szCs w:val="32"/>
          <w:lang w:val="zh-CN"/>
        </w:rPr>
        <w:t>～3</w:t>
      </w:r>
      <w:r>
        <w:rPr>
          <w:rFonts w:ascii="仿宋_GB2312" w:hAnsi="宋体" w:eastAsia="仿宋_GB2312"/>
          <w:sz w:val="32"/>
          <w:szCs w:val="32"/>
          <w:lang w:val="zh-CN"/>
        </w:rPr>
        <w:t>00g</w:t>
      </w:r>
      <w:r>
        <w:rPr>
          <w:rFonts w:hint="eastAsia" w:ascii="仿宋_GB2312" w:hAnsi="宋体" w:eastAsia="仿宋_GB2312"/>
          <w:sz w:val="32"/>
          <w:szCs w:val="32"/>
          <w:lang w:val="zh-CN"/>
        </w:rPr>
        <w:t>之间，加入腌制酸柠檬后继续翻炒1</w:t>
      </w:r>
      <w:r>
        <w:rPr>
          <w:rFonts w:ascii="仿宋_GB2312" w:hAnsi="宋体" w:eastAsia="仿宋_GB2312"/>
          <w:sz w:val="32"/>
          <w:szCs w:val="32"/>
          <w:lang w:val="zh-CN"/>
        </w:rPr>
        <w:t>.5</w:t>
      </w:r>
      <w:r>
        <w:rPr>
          <w:rFonts w:hint="eastAsia" w:ascii="仿宋_GB2312" w:hAnsi="宋体" w:eastAsia="仿宋_GB2312"/>
          <w:sz w:val="32"/>
          <w:szCs w:val="32"/>
          <w:lang w:val="zh-CN"/>
        </w:rPr>
        <w:t>min～2</w:t>
      </w:r>
      <w:r>
        <w:rPr>
          <w:rFonts w:ascii="仿宋_GB2312" w:hAnsi="宋体" w:eastAsia="仿宋_GB2312"/>
          <w:sz w:val="32"/>
          <w:szCs w:val="32"/>
          <w:lang w:val="zh-CN"/>
        </w:rPr>
        <w:t>.5</w:t>
      </w:r>
      <w:r>
        <w:rPr>
          <w:rFonts w:hint="eastAsia" w:ascii="仿宋_GB2312" w:hAnsi="宋体" w:eastAsia="仿宋_GB2312"/>
          <w:sz w:val="32"/>
          <w:szCs w:val="32"/>
          <w:lang w:val="zh-CN"/>
        </w:rPr>
        <w:t>min收汁后出锅。通过实地考察调研和召集业内相关美食大厨讨论，一致认为在腌制酸柠檬加入量和收汁翻炒时间上，应该给予一定的范围量，这样更便于厨师的操作，且上述指标范围在炒制柠檬鸭方面是比较合适的。因此，本文件要求炒制结束后加入腌制酸柠檬（250±50）g，再翻炒（2±0.5）min，炒至图</w:t>
      </w:r>
      <w:r>
        <w:rPr>
          <w:rFonts w:ascii="仿宋_GB2312" w:hAnsi="宋体" w:eastAsia="仿宋_GB2312"/>
          <w:sz w:val="32"/>
          <w:szCs w:val="32"/>
          <w:lang w:val="zh-CN"/>
        </w:rPr>
        <w:t>5</w:t>
      </w:r>
      <w:r>
        <w:rPr>
          <w:rFonts w:hint="eastAsia" w:ascii="仿宋_GB2312" w:hAnsi="宋体" w:eastAsia="仿宋_GB2312"/>
          <w:sz w:val="32"/>
          <w:szCs w:val="32"/>
          <w:lang w:val="zh-CN"/>
        </w:rPr>
        <w:t>的状态时收汁出锅装盘即可。</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48" w:type="dxa"/>
          </w:tcPr>
          <w:p>
            <w:pPr>
              <w:autoSpaceDE w:val="0"/>
              <w:autoSpaceDN w:val="0"/>
              <w:adjustRightInd w:val="0"/>
              <w:spacing w:before="156" w:beforeLines="50" w:after="156" w:afterLines="50" w:line="560" w:lineRule="exact"/>
              <w:jc w:val="center"/>
              <w:rPr>
                <w:rFonts w:ascii="仿宋_GB2312" w:hAnsi="宋体" w:eastAsia="仿宋_GB2312"/>
                <w:sz w:val="32"/>
                <w:szCs w:val="32"/>
                <w:lang w:val="zh-CN"/>
              </w:rPr>
            </w:pPr>
            <w:r>
              <w:rPr>
                <w:rFonts w:hint="eastAsia"/>
              </w:rPr>
              <w:drawing>
                <wp:anchor distT="0" distB="0" distL="114300" distR="114300" simplePos="0" relativeHeight="251660288" behindDoc="0" locked="0" layoutInCell="1" allowOverlap="1">
                  <wp:simplePos x="0" y="0"/>
                  <wp:positionH relativeFrom="column">
                    <wp:posOffset>392430</wp:posOffset>
                  </wp:positionH>
                  <wp:positionV relativeFrom="paragraph">
                    <wp:posOffset>0</wp:posOffset>
                  </wp:positionV>
                  <wp:extent cx="4645025" cy="4444365"/>
                  <wp:effectExtent l="0" t="0" r="3175" b="0"/>
                  <wp:wrapSquare wrapText="bothSides"/>
                  <wp:docPr id="48" name="图片 48" descr="充分翻炒结束可出锅前食品状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充分翻炒结束可出锅前食品状态"/>
                          <pic:cNvPicPr>
                            <a:picLocks noChangeAspect="1"/>
                          </pic:cNvPicPr>
                        </pic:nvPicPr>
                        <pic:blipFill>
                          <a:blip r:embed="rId10"/>
                          <a:stretch>
                            <a:fillRect/>
                          </a:stretch>
                        </pic:blipFill>
                        <pic:spPr>
                          <a:xfrm>
                            <a:off x="0" y="0"/>
                            <a:ext cx="4645152" cy="4444341"/>
                          </a:xfrm>
                          <a:prstGeom prst="rect">
                            <a:avLst/>
                          </a:prstGeom>
                        </pic:spPr>
                      </pic:pic>
                    </a:graphicData>
                  </a:graphic>
                </wp:anchor>
              </w:drawing>
            </w:r>
          </w:p>
        </w:tc>
      </w:tr>
    </w:tbl>
    <w:p>
      <w:pPr>
        <w:autoSpaceDE w:val="0"/>
        <w:autoSpaceDN w:val="0"/>
        <w:adjustRightInd w:val="0"/>
        <w:spacing w:before="156" w:beforeLines="50" w:after="156" w:afterLines="50" w:line="560" w:lineRule="exact"/>
        <w:ind w:firstLine="643" w:firstLineChars="200"/>
        <w:jc w:val="center"/>
        <w:rPr>
          <w:rFonts w:ascii="仿宋_GB2312" w:hAnsi="宋体" w:eastAsia="仿宋_GB2312"/>
          <w:b/>
          <w:bCs/>
          <w:sz w:val="32"/>
          <w:szCs w:val="32"/>
          <w:lang w:val="zh-CN"/>
        </w:rPr>
      </w:pPr>
      <w:r>
        <w:rPr>
          <w:rFonts w:hint="eastAsia" w:ascii="仿宋_GB2312" w:hAnsi="宋体" w:eastAsia="仿宋_GB2312"/>
          <w:b/>
          <w:bCs/>
          <w:sz w:val="32"/>
          <w:szCs w:val="32"/>
          <w:lang w:val="zh-CN"/>
        </w:rPr>
        <w:t>图5</w:t>
      </w:r>
      <w:r>
        <w:rPr>
          <w:rFonts w:ascii="仿宋_GB2312" w:hAnsi="宋体" w:eastAsia="仿宋_GB2312"/>
          <w:b/>
          <w:bCs/>
          <w:sz w:val="32"/>
          <w:szCs w:val="32"/>
          <w:lang w:val="zh-CN"/>
        </w:rPr>
        <w:t xml:space="preserve"> </w:t>
      </w:r>
      <w:r>
        <w:rPr>
          <w:rFonts w:hint="eastAsia" w:ascii="仿宋_GB2312" w:hAnsi="宋体" w:eastAsia="仿宋_GB2312"/>
          <w:b/>
          <w:bCs/>
          <w:sz w:val="32"/>
          <w:szCs w:val="32"/>
          <w:lang w:val="zh-CN"/>
        </w:rPr>
        <w:t>充分翻炒结束可出锅前食品状态参考图</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6）原料配比用量是控制美食感官的核心指标，由表3可以看出，不同餐饮企业原料配比用量基本一致。不同材料用量汇总如表5所示。通过实地考察调研和召集业内相关美食大厨讨论，一致认为表5中涉及的原材料比例指标范围在炒制柠檬鸭方面是比较合适的。因此，本文件按照表5的指标对原料配比用量提出建议。</w:t>
      </w:r>
    </w:p>
    <w:p>
      <w:pPr>
        <w:autoSpaceDE w:val="0"/>
        <w:autoSpaceDN w:val="0"/>
        <w:adjustRightInd w:val="0"/>
        <w:spacing w:before="156" w:beforeLines="50" w:after="156" w:afterLines="50" w:line="560" w:lineRule="exact"/>
        <w:ind w:firstLine="643" w:firstLineChars="200"/>
        <w:jc w:val="center"/>
        <w:rPr>
          <w:rFonts w:ascii="仿宋_GB2312" w:hAnsi="宋体" w:eastAsia="仿宋_GB2312"/>
          <w:b/>
          <w:bCs/>
          <w:sz w:val="32"/>
          <w:szCs w:val="32"/>
          <w:lang w:val="zh-CN"/>
        </w:rPr>
      </w:pPr>
      <w:r>
        <w:rPr>
          <w:rFonts w:hint="eastAsia" w:ascii="仿宋_GB2312" w:hAnsi="宋体" w:eastAsia="仿宋_GB2312"/>
          <w:b/>
          <w:bCs/>
          <w:sz w:val="32"/>
          <w:szCs w:val="32"/>
          <w:lang w:val="zh-CN"/>
        </w:rPr>
        <w:t>表5</w:t>
      </w:r>
      <w:r>
        <w:rPr>
          <w:rFonts w:ascii="仿宋_GB2312" w:hAnsi="宋体" w:eastAsia="仿宋_GB2312"/>
          <w:b/>
          <w:bCs/>
          <w:sz w:val="32"/>
          <w:szCs w:val="32"/>
          <w:lang w:val="zh-CN"/>
        </w:rPr>
        <w:t xml:space="preserve"> </w:t>
      </w:r>
      <w:r>
        <w:rPr>
          <w:rFonts w:hint="eastAsia" w:ascii="仿宋_GB2312" w:hAnsi="宋体" w:eastAsia="仿宋_GB2312"/>
          <w:b/>
          <w:bCs/>
          <w:sz w:val="32"/>
          <w:szCs w:val="32"/>
          <w:lang w:val="zh-CN"/>
        </w:rPr>
        <w:t>原料配比用量汇总分析表</w:t>
      </w:r>
    </w:p>
    <w:tbl>
      <w:tblPr>
        <w:tblStyle w:val="6"/>
        <w:tblW w:w="5000" w:type="pct"/>
        <w:tblInd w:w="0" w:type="dxa"/>
        <w:tblLayout w:type="autofit"/>
        <w:tblCellMar>
          <w:top w:w="0" w:type="dxa"/>
          <w:left w:w="0" w:type="dxa"/>
          <w:bottom w:w="0" w:type="dxa"/>
          <w:right w:w="0" w:type="dxa"/>
        </w:tblCellMar>
      </w:tblPr>
      <w:tblGrid>
        <w:gridCol w:w="2988"/>
        <w:gridCol w:w="2989"/>
        <w:gridCol w:w="2991"/>
      </w:tblGrid>
      <w:tr>
        <w:tblPrEx>
          <w:tblCellMar>
            <w:top w:w="0" w:type="dxa"/>
            <w:left w:w="0" w:type="dxa"/>
            <w:bottom w:w="0" w:type="dxa"/>
            <w:right w:w="0" w:type="dxa"/>
          </w:tblCellMar>
        </w:tblPrEx>
        <w:trPr>
          <w:trHeight w:val="358" w:hRule="atLeast"/>
        </w:trPr>
        <w:tc>
          <w:tcPr>
            <w:tcW w:w="1666" w:type="pct"/>
            <w:tcBorders>
              <w:top w:val="single" w:color="000000" w:sz="8" w:space="0"/>
              <w:left w:val="single" w:color="000000" w:sz="4" w:space="0"/>
              <w:bottom w:val="single" w:color="000000" w:sz="8"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r>
              <w:rPr>
                <w:rFonts w:hint="eastAsia" w:ascii="宋体" w:hAnsi="宋体" w:cs="宋体"/>
                <w:color w:val="000000"/>
                <w:kern w:val="0"/>
                <w:sz w:val="18"/>
                <w:szCs w:val="22"/>
                <w:lang w:bidi="ar"/>
              </w:rPr>
              <w:t>原料类别</w:t>
            </w:r>
          </w:p>
        </w:tc>
        <w:tc>
          <w:tcPr>
            <w:tcW w:w="1666" w:type="pct"/>
            <w:tcBorders>
              <w:top w:val="single" w:color="000000" w:sz="8" w:space="0"/>
              <w:left w:val="single" w:color="000000" w:sz="4" w:space="0"/>
              <w:bottom w:val="single" w:color="000000" w:sz="8"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r>
              <w:rPr>
                <w:rFonts w:hint="eastAsia" w:ascii="宋体" w:hAnsi="宋体" w:cs="宋体"/>
                <w:color w:val="000000"/>
                <w:kern w:val="0"/>
                <w:sz w:val="18"/>
                <w:szCs w:val="22"/>
                <w:lang w:bidi="ar"/>
              </w:rPr>
              <w:t>名称</w:t>
            </w:r>
          </w:p>
        </w:tc>
        <w:tc>
          <w:tcPr>
            <w:tcW w:w="1667" w:type="pct"/>
            <w:tcBorders>
              <w:top w:val="single" w:color="000000" w:sz="8" w:space="0"/>
              <w:left w:val="single" w:color="000000" w:sz="4" w:space="0"/>
              <w:bottom w:val="single" w:color="000000" w:sz="8" w:space="0"/>
              <w:right w:val="single" w:color="000000" w:sz="4" w:space="0"/>
            </w:tcBorders>
            <w:shd w:val="clear" w:color="auto" w:fill="auto"/>
            <w:noWrap/>
            <w:vAlign w:val="center"/>
          </w:tcPr>
          <w:p>
            <w:pPr>
              <w:widowControl/>
              <w:jc w:val="center"/>
              <w:textAlignment w:val="center"/>
              <w:rPr>
                <w:rFonts w:ascii="宋体" w:hAnsi="宋体" w:cs="宋体"/>
                <w:color w:val="000000"/>
                <w:sz w:val="18"/>
                <w:szCs w:val="22"/>
              </w:rPr>
            </w:pPr>
            <w:r>
              <w:rPr>
                <w:rFonts w:hint="eastAsia" w:ascii="宋体" w:hAnsi="宋体" w:cs="宋体"/>
                <w:color w:val="000000"/>
                <w:kern w:val="0"/>
                <w:sz w:val="18"/>
                <w:szCs w:val="22"/>
                <w:lang w:bidi="ar"/>
              </w:rPr>
              <w:t>重量（g)</w:t>
            </w:r>
          </w:p>
        </w:tc>
      </w:tr>
      <w:tr>
        <w:tblPrEx>
          <w:tblCellMar>
            <w:top w:w="0" w:type="dxa"/>
            <w:left w:w="0" w:type="dxa"/>
            <w:bottom w:w="0" w:type="dxa"/>
            <w:right w:w="0" w:type="dxa"/>
          </w:tblCellMar>
        </w:tblPrEx>
        <w:trPr>
          <w:trHeight w:val="375" w:hRule="atLeast"/>
        </w:trPr>
        <w:tc>
          <w:tcPr>
            <w:tcW w:w="1666" w:type="pct"/>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r>
              <w:rPr>
                <w:rFonts w:hint="eastAsia" w:ascii="宋体" w:hAnsi="宋体" w:cs="宋体"/>
                <w:color w:val="000000"/>
                <w:kern w:val="0"/>
                <w:sz w:val="18"/>
                <w:szCs w:val="22"/>
                <w:lang w:bidi="ar"/>
              </w:rPr>
              <w:t>主料</w:t>
            </w:r>
          </w:p>
        </w:tc>
        <w:tc>
          <w:tcPr>
            <w:tcW w:w="1666" w:type="pct"/>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麻鸭或樱桃鸭</w:t>
            </w:r>
          </w:p>
        </w:tc>
        <w:tc>
          <w:tcPr>
            <w:tcW w:w="1667"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1900</w:t>
            </w:r>
            <w:r>
              <w:rPr>
                <w:rFonts w:hint="eastAsia" w:ascii="宋体" w:hAnsi="宋体" w:cs="宋体"/>
                <w:kern w:val="0"/>
                <w:sz w:val="18"/>
                <w:szCs w:val="20"/>
                <w:lang w:bidi="ar"/>
              </w:rPr>
              <w:t>～2</w:t>
            </w:r>
            <w:r>
              <w:rPr>
                <w:rFonts w:ascii="宋体" w:hAnsi="宋体" w:cs="宋体"/>
                <w:kern w:val="0"/>
                <w:sz w:val="18"/>
                <w:szCs w:val="20"/>
                <w:lang w:bidi="ar"/>
              </w:rPr>
              <w:t>100</w:t>
            </w:r>
          </w:p>
        </w:tc>
      </w:tr>
      <w:tr>
        <w:tblPrEx>
          <w:tblCellMar>
            <w:top w:w="0" w:type="dxa"/>
            <w:left w:w="0" w:type="dxa"/>
            <w:bottom w:w="0" w:type="dxa"/>
            <w:right w:w="0" w:type="dxa"/>
          </w:tblCellMar>
        </w:tblPrEx>
        <w:trPr>
          <w:trHeight w:val="349" w:hRule="atLeast"/>
        </w:trPr>
        <w:tc>
          <w:tcPr>
            <w:tcW w:w="1666" w:type="pct"/>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r>
              <w:rPr>
                <w:rFonts w:hint="eastAsia" w:ascii="宋体" w:hAnsi="宋体" w:cs="宋体"/>
                <w:color w:val="000000"/>
                <w:kern w:val="0"/>
                <w:sz w:val="18"/>
                <w:szCs w:val="22"/>
                <w:lang w:bidi="ar"/>
              </w:rPr>
              <w:t>辅料</w:t>
            </w: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腌制酸柠檬</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200</w:t>
            </w:r>
            <w:r>
              <w:rPr>
                <w:rFonts w:hint="eastAsia" w:ascii="宋体" w:hAnsi="宋体" w:cs="宋体"/>
                <w:kern w:val="0"/>
                <w:sz w:val="18"/>
                <w:szCs w:val="20"/>
                <w:lang w:bidi="ar"/>
              </w:rPr>
              <w:t>～3</w:t>
            </w:r>
            <w:r>
              <w:rPr>
                <w:rFonts w:ascii="宋体" w:hAnsi="宋体" w:cs="宋体"/>
                <w:kern w:val="0"/>
                <w:sz w:val="18"/>
                <w:szCs w:val="20"/>
                <w:lang w:bidi="ar"/>
              </w:rPr>
              <w:t>00</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生姜</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2</w:t>
            </w:r>
            <w:r>
              <w:rPr>
                <w:rFonts w:hint="eastAsia" w:ascii="宋体" w:hAnsi="宋体" w:cs="宋体"/>
                <w:kern w:val="0"/>
                <w:sz w:val="18"/>
                <w:szCs w:val="20"/>
                <w:lang w:bidi="ar"/>
              </w:rPr>
              <w:t>50～3</w:t>
            </w:r>
            <w:r>
              <w:rPr>
                <w:rFonts w:ascii="宋体" w:hAnsi="宋体" w:cs="宋体"/>
                <w:kern w:val="0"/>
                <w:sz w:val="18"/>
                <w:szCs w:val="20"/>
                <w:lang w:bidi="ar"/>
              </w:rPr>
              <w:t>50</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蒜米</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200</w:t>
            </w:r>
            <w:r>
              <w:rPr>
                <w:rFonts w:hint="eastAsia" w:ascii="宋体" w:hAnsi="宋体" w:cs="宋体"/>
                <w:kern w:val="0"/>
                <w:sz w:val="18"/>
                <w:szCs w:val="20"/>
                <w:lang w:bidi="ar"/>
              </w:rPr>
              <w:t>～3</w:t>
            </w:r>
            <w:r>
              <w:rPr>
                <w:rFonts w:ascii="宋体" w:hAnsi="宋体" w:cs="宋体"/>
                <w:kern w:val="0"/>
                <w:sz w:val="18"/>
                <w:szCs w:val="20"/>
                <w:lang w:bidi="ar"/>
              </w:rPr>
              <w:t>00</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腌制酸辣椒</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1</w:t>
            </w:r>
            <w:r>
              <w:rPr>
                <w:rFonts w:hint="eastAsia" w:ascii="宋体" w:hAnsi="宋体" w:cs="宋体"/>
                <w:kern w:val="0"/>
                <w:sz w:val="18"/>
                <w:szCs w:val="20"/>
                <w:lang w:bidi="ar"/>
              </w:rPr>
              <w:t>50～2</w:t>
            </w:r>
            <w:r>
              <w:rPr>
                <w:rFonts w:ascii="宋体" w:hAnsi="宋体" w:cs="宋体"/>
                <w:kern w:val="0"/>
                <w:sz w:val="18"/>
                <w:szCs w:val="20"/>
                <w:lang w:bidi="ar"/>
              </w:rPr>
              <w:t>50</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白酒</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200</w:t>
            </w:r>
            <w:r>
              <w:rPr>
                <w:rFonts w:hint="eastAsia" w:ascii="宋体" w:hAnsi="宋体" w:cs="宋体"/>
                <w:kern w:val="0"/>
                <w:sz w:val="18"/>
                <w:szCs w:val="20"/>
                <w:lang w:bidi="ar"/>
              </w:rPr>
              <w:t>～3</w:t>
            </w:r>
            <w:r>
              <w:rPr>
                <w:rFonts w:ascii="宋体" w:hAnsi="宋体" w:cs="宋体"/>
                <w:kern w:val="0"/>
                <w:sz w:val="18"/>
                <w:szCs w:val="20"/>
                <w:lang w:bidi="ar"/>
              </w:rPr>
              <w:t>00</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酱油</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80</w:t>
            </w:r>
            <w:r>
              <w:rPr>
                <w:rFonts w:hint="eastAsia" w:ascii="宋体" w:hAnsi="宋体" w:cs="宋体"/>
                <w:kern w:val="0"/>
                <w:sz w:val="18"/>
                <w:szCs w:val="20"/>
                <w:lang w:bidi="ar"/>
              </w:rPr>
              <w:t>～1</w:t>
            </w:r>
            <w:r>
              <w:rPr>
                <w:rFonts w:ascii="宋体" w:hAnsi="宋体" w:cs="宋体"/>
                <w:kern w:val="0"/>
                <w:sz w:val="18"/>
                <w:szCs w:val="20"/>
                <w:lang w:bidi="ar"/>
              </w:rPr>
              <w:t>20</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腐乳</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80</w:t>
            </w:r>
            <w:r>
              <w:rPr>
                <w:rFonts w:hint="eastAsia" w:ascii="宋体" w:hAnsi="宋体" w:cs="宋体"/>
                <w:kern w:val="0"/>
                <w:sz w:val="18"/>
                <w:szCs w:val="20"/>
                <w:lang w:bidi="ar"/>
              </w:rPr>
              <w:t>～1</w:t>
            </w:r>
            <w:r>
              <w:rPr>
                <w:rFonts w:ascii="宋体" w:hAnsi="宋体" w:cs="宋体"/>
                <w:kern w:val="0"/>
                <w:sz w:val="18"/>
                <w:szCs w:val="20"/>
                <w:lang w:bidi="ar"/>
              </w:rPr>
              <w:t>00</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黄皮酱</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60</w:t>
            </w:r>
            <w:r>
              <w:rPr>
                <w:rFonts w:hint="eastAsia" w:ascii="宋体" w:hAnsi="宋体" w:cs="宋体"/>
                <w:kern w:val="0"/>
                <w:sz w:val="18"/>
                <w:szCs w:val="20"/>
                <w:lang w:bidi="ar"/>
              </w:rPr>
              <w:t>～8</w:t>
            </w:r>
            <w:r>
              <w:rPr>
                <w:rFonts w:ascii="宋体" w:hAnsi="宋体" w:cs="宋体"/>
                <w:kern w:val="0"/>
                <w:sz w:val="18"/>
                <w:szCs w:val="20"/>
                <w:lang w:bidi="ar"/>
              </w:rPr>
              <w:t>0</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白砂糖</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60</w:t>
            </w:r>
            <w:r>
              <w:rPr>
                <w:rFonts w:hint="eastAsia" w:ascii="宋体" w:hAnsi="宋体" w:cs="宋体"/>
                <w:kern w:val="0"/>
                <w:sz w:val="18"/>
                <w:szCs w:val="20"/>
                <w:lang w:bidi="ar"/>
              </w:rPr>
              <w:t>～8</w:t>
            </w:r>
            <w:r>
              <w:rPr>
                <w:rFonts w:ascii="宋体" w:hAnsi="宋体" w:cs="宋体"/>
                <w:kern w:val="0"/>
                <w:sz w:val="18"/>
                <w:szCs w:val="20"/>
                <w:lang w:bidi="ar"/>
              </w:rPr>
              <w:t>0</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白胡椒</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10</w:t>
            </w:r>
            <w:r>
              <w:rPr>
                <w:rFonts w:hint="eastAsia" w:ascii="宋体" w:hAnsi="宋体" w:cs="宋体"/>
                <w:kern w:val="0"/>
                <w:sz w:val="18"/>
                <w:szCs w:val="20"/>
                <w:lang w:bidi="ar"/>
              </w:rPr>
              <w:t>～1</w:t>
            </w:r>
            <w:r>
              <w:rPr>
                <w:rFonts w:ascii="宋体" w:hAnsi="宋体" w:cs="宋体"/>
                <w:kern w:val="0"/>
                <w:sz w:val="18"/>
                <w:szCs w:val="20"/>
                <w:lang w:bidi="ar"/>
              </w:rPr>
              <w:t>4</w:t>
            </w:r>
          </w:p>
        </w:tc>
      </w:tr>
      <w:tr>
        <w:tblPrEx>
          <w:tblCellMar>
            <w:top w:w="0" w:type="dxa"/>
            <w:left w:w="0" w:type="dxa"/>
            <w:bottom w:w="0" w:type="dxa"/>
            <w:right w:w="0" w:type="dxa"/>
          </w:tblCellMar>
        </w:tblPrEx>
        <w:trPr>
          <w:trHeight w:val="366" w:hRule="atLeast"/>
        </w:trPr>
        <w:tc>
          <w:tcPr>
            <w:tcW w:w="1666" w:type="pct"/>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植物油</w:t>
            </w:r>
          </w:p>
        </w:tc>
        <w:tc>
          <w:tcPr>
            <w:tcW w:w="16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kern w:val="0"/>
                <w:sz w:val="18"/>
                <w:szCs w:val="20"/>
                <w:lang w:bidi="ar"/>
              </w:rPr>
            </w:pPr>
            <w:r>
              <w:rPr>
                <w:rFonts w:ascii="宋体" w:hAnsi="宋体" w:cs="宋体"/>
                <w:kern w:val="0"/>
                <w:sz w:val="18"/>
                <w:szCs w:val="20"/>
                <w:lang w:bidi="ar"/>
              </w:rPr>
              <w:t>200</w:t>
            </w:r>
            <w:r>
              <w:rPr>
                <w:rFonts w:hint="eastAsia" w:ascii="宋体" w:hAnsi="宋体" w:cs="宋体"/>
                <w:kern w:val="0"/>
                <w:sz w:val="18"/>
                <w:szCs w:val="20"/>
                <w:lang w:bidi="ar"/>
              </w:rPr>
              <w:t>～3</w:t>
            </w:r>
            <w:r>
              <w:rPr>
                <w:rFonts w:ascii="宋体" w:hAnsi="宋体" w:cs="宋体"/>
                <w:kern w:val="0"/>
                <w:sz w:val="18"/>
                <w:szCs w:val="20"/>
                <w:lang w:bidi="ar"/>
              </w:rPr>
              <w:t>00</w:t>
            </w:r>
          </w:p>
        </w:tc>
      </w:tr>
      <w:tr>
        <w:tblPrEx>
          <w:tblCellMar>
            <w:top w:w="0" w:type="dxa"/>
            <w:left w:w="0" w:type="dxa"/>
            <w:bottom w:w="0" w:type="dxa"/>
            <w:right w:w="0" w:type="dxa"/>
          </w:tblCellMar>
        </w:tblPrEx>
        <w:trPr>
          <w:trHeight w:val="392" w:hRule="atLeast"/>
        </w:trPr>
        <w:tc>
          <w:tcPr>
            <w:tcW w:w="1666" w:type="pct"/>
            <w:vMerge w:val="continue"/>
            <w:tcBorders>
              <w:left w:val="single" w:color="000000" w:sz="4" w:space="0"/>
              <w:bottom w:val="single" w:color="000000" w:sz="8" w:space="0"/>
              <w:right w:val="single" w:color="000000" w:sz="4" w:space="0"/>
            </w:tcBorders>
            <w:vAlign w:val="center"/>
          </w:tcPr>
          <w:p>
            <w:pPr>
              <w:widowControl/>
              <w:jc w:val="center"/>
              <w:textAlignment w:val="center"/>
              <w:rPr>
                <w:rFonts w:ascii="宋体" w:hAnsi="宋体" w:cs="宋体"/>
                <w:color w:val="000000"/>
                <w:kern w:val="0"/>
                <w:sz w:val="18"/>
                <w:szCs w:val="22"/>
                <w:lang w:bidi="ar"/>
              </w:rPr>
            </w:pPr>
          </w:p>
        </w:tc>
        <w:tc>
          <w:tcPr>
            <w:tcW w:w="1666" w:type="pct"/>
            <w:tcBorders>
              <w:top w:val="single" w:color="000000" w:sz="4" w:space="0"/>
              <w:left w:val="single" w:color="000000" w:sz="4" w:space="0"/>
              <w:bottom w:val="single" w:color="000000" w:sz="8" w:space="0"/>
              <w:right w:val="single" w:color="000000" w:sz="4" w:space="0"/>
            </w:tcBorders>
            <w:vAlign w:val="center"/>
          </w:tcPr>
          <w:p>
            <w:pPr>
              <w:widowControl/>
              <w:jc w:val="center"/>
              <w:textAlignment w:val="center"/>
              <w:rPr>
                <w:rFonts w:ascii="宋体" w:hAnsi="宋体" w:cs="宋体"/>
                <w:kern w:val="0"/>
                <w:sz w:val="18"/>
                <w:szCs w:val="20"/>
                <w:lang w:bidi="ar"/>
              </w:rPr>
            </w:pPr>
            <w:r>
              <w:rPr>
                <w:rFonts w:hint="eastAsia" w:ascii="宋体" w:hAnsi="宋体" w:cs="宋体"/>
                <w:kern w:val="0"/>
                <w:sz w:val="18"/>
                <w:szCs w:val="20"/>
                <w:lang w:bidi="ar"/>
              </w:rPr>
              <w:t>水</w:t>
            </w:r>
          </w:p>
        </w:tc>
        <w:tc>
          <w:tcPr>
            <w:tcW w:w="1667"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widowControl/>
              <w:jc w:val="center"/>
              <w:textAlignment w:val="center"/>
              <w:rPr>
                <w:rFonts w:ascii="宋体" w:hAnsi="宋体" w:cs="宋体"/>
                <w:sz w:val="18"/>
                <w:szCs w:val="20"/>
              </w:rPr>
            </w:pPr>
            <w:r>
              <w:rPr>
                <w:rFonts w:ascii="宋体" w:hAnsi="宋体" w:cs="宋体"/>
                <w:kern w:val="0"/>
                <w:sz w:val="18"/>
                <w:szCs w:val="20"/>
                <w:lang w:bidi="ar"/>
              </w:rPr>
              <w:t>200</w:t>
            </w:r>
            <w:r>
              <w:rPr>
                <w:rFonts w:hint="eastAsia" w:ascii="宋体" w:hAnsi="宋体" w:cs="宋体"/>
                <w:kern w:val="0"/>
                <w:sz w:val="18"/>
                <w:szCs w:val="20"/>
                <w:lang w:bidi="ar"/>
              </w:rPr>
              <w:t>～3</w:t>
            </w:r>
            <w:r>
              <w:rPr>
                <w:rFonts w:ascii="宋体" w:hAnsi="宋体" w:cs="宋体"/>
                <w:kern w:val="0"/>
                <w:sz w:val="18"/>
                <w:szCs w:val="20"/>
                <w:lang w:bidi="ar"/>
              </w:rPr>
              <w:t>00</w:t>
            </w:r>
          </w:p>
        </w:tc>
      </w:tr>
    </w:tbl>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p>
    <w:p>
      <w:pPr>
        <w:pStyle w:val="29"/>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rPr>
        <w:t>成品感官</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广西柠檬鸭成品如图6所示，其感官描述主要根据广西柠檬鸭实际感官体现进行。具体如下：</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、色泽</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色泽金黄，光泽透亮，色调自然，配色和谐，成品图见附录D。</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2、形态</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外观金黄，酱汁浓郁，造型美观。</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3、滋味及气味</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酸爽鲜香，香而不腻，酱香、柠檬香气浓郁，无焦糊味。</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ascii="仿宋_GB2312" w:hAnsi="宋体" w:eastAsia="仿宋_GB2312"/>
          <w:sz w:val="32"/>
          <w:szCs w:val="32"/>
          <w:lang w:val="zh-CN"/>
        </w:rPr>
        <w:t>4</w:t>
      </w:r>
      <w:r>
        <w:rPr>
          <w:rFonts w:hint="eastAsia" w:ascii="仿宋_GB2312" w:hAnsi="宋体" w:eastAsia="仿宋_GB2312"/>
          <w:sz w:val="32"/>
          <w:szCs w:val="32"/>
          <w:lang w:val="zh-CN"/>
        </w:rPr>
        <w:t>、口感</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鸭肉细腻，酸香可口，6分酸爽、3分咸香、1分微辣。</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48" w:type="dxa"/>
          </w:tcPr>
          <w:p>
            <w:pPr>
              <w:autoSpaceDE w:val="0"/>
              <w:autoSpaceDN w:val="0"/>
              <w:adjustRightInd w:val="0"/>
              <w:spacing w:before="156" w:beforeLines="50" w:after="156" w:afterLines="50" w:line="560" w:lineRule="exact"/>
              <w:jc w:val="center"/>
              <w:rPr>
                <w:rFonts w:ascii="仿宋_GB2312" w:hAnsi="宋体" w:eastAsia="仿宋_GB2312"/>
                <w:sz w:val="32"/>
                <w:szCs w:val="32"/>
                <w:lang w:val="zh-CN"/>
              </w:rPr>
            </w:pPr>
            <w:r>
              <w:drawing>
                <wp:anchor distT="0" distB="0" distL="114300" distR="114300" simplePos="0" relativeHeight="251661312" behindDoc="0" locked="0" layoutInCell="1" allowOverlap="1">
                  <wp:simplePos x="0" y="0"/>
                  <wp:positionH relativeFrom="column">
                    <wp:posOffset>501650</wp:posOffset>
                  </wp:positionH>
                  <wp:positionV relativeFrom="paragraph">
                    <wp:posOffset>0</wp:posOffset>
                  </wp:positionV>
                  <wp:extent cx="4524375" cy="5051425"/>
                  <wp:effectExtent l="0" t="0" r="9525" b="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1"/>
                          <a:srcRect/>
                          <a:stretch>
                            <a:fillRect/>
                          </a:stretch>
                        </pic:blipFill>
                        <pic:spPr>
                          <a:xfrm>
                            <a:off x="0" y="0"/>
                            <a:ext cx="4524375" cy="5051425"/>
                          </a:xfrm>
                          <a:prstGeom prst="rect">
                            <a:avLst/>
                          </a:prstGeom>
                          <a:noFill/>
                          <a:ln>
                            <a:noFill/>
                          </a:ln>
                        </pic:spPr>
                      </pic:pic>
                    </a:graphicData>
                  </a:graphic>
                </wp:anchor>
              </w:drawing>
            </w:r>
          </w:p>
        </w:tc>
      </w:tr>
    </w:tbl>
    <w:p>
      <w:pPr>
        <w:autoSpaceDE w:val="0"/>
        <w:autoSpaceDN w:val="0"/>
        <w:adjustRightInd w:val="0"/>
        <w:spacing w:before="156" w:beforeLines="50" w:after="156" w:afterLines="50" w:line="560" w:lineRule="exact"/>
        <w:ind w:firstLine="643" w:firstLineChars="200"/>
        <w:jc w:val="center"/>
        <w:rPr>
          <w:rFonts w:ascii="仿宋_GB2312" w:hAnsi="宋体" w:eastAsia="仿宋_GB2312"/>
          <w:b/>
          <w:bCs/>
          <w:sz w:val="32"/>
          <w:szCs w:val="32"/>
          <w:lang w:val="zh-CN"/>
        </w:rPr>
      </w:pPr>
      <w:r>
        <w:rPr>
          <w:rFonts w:hint="eastAsia" w:ascii="仿宋_GB2312" w:hAnsi="宋体" w:eastAsia="仿宋_GB2312"/>
          <w:b/>
          <w:bCs/>
          <w:sz w:val="32"/>
          <w:szCs w:val="32"/>
          <w:lang w:val="zh-CN"/>
        </w:rPr>
        <w:t>图</w:t>
      </w:r>
      <w:r>
        <w:rPr>
          <w:rFonts w:ascii="仿宋_GB2312" w:hAnsi="宋体" w:eastAsia="仿宋_GB2312"/>
          <w:b/>
          <w:bCs/>
          <w:sz w:val="32"/>
          <w:szCs w:val="32"/>
          <w:lang w:val="zh-CN"/>
        </w:rPr>
        <w:t xml:space="preserve">6 </w:t>
      </w:r>
      <w:r>
        <w:rPr>
          <w:rFonts w:hint="eastAsia" w:ascii="仿宋_GB2312" w:hAnsi="宋体" w:eastAsia="仿宋_GB2312"/>
          <w:b/>
          <w:bCs/>
          <w:sz w:val="32"/>
          <w:szCs w:val="32"/>
          <w:lang w:val="zh-CN"/>
        </w:rPr>
        <w:t>广西柠檬鸭成品图</w:t>
      </w:r>
    </w:p>
    <w:p>
      <w:pPr>
        <w:pStyle w:val="29"/>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rPr>
        <w:t>档案记录</w:t>
      </w:r>
    </w:p>
    <w:p>
      <w:pPr>
        <w:autoSpaceDE w:val="0"/>
        <w:autoSpaceDN w:val="0"/>
        <w:adjustRightInd w:val="0"/>
        <w:spacing w:before="156" w:beforeLines="50" w:after="156" w:afterLines="50" w:line="560" w:lineRule="exact"/>
        <w:ind w:firstLine="640" w:firstLineChars="200"/>
        <w:jc w:val="left"/>
        <w:rPr>
          <w:rFonts w:ascii="仿宋_GB2312" w:hAnsi="宋体" w:eastAsia="仿宋_GB2312"/>
          <w:sz w:val="32"/>
          <w:szCs w:val="32"/>
          <w:lang w:val="zh-CN"/>
        </w:rPr>
      </w:pPr>
      <w:r>
        <w:rPr>
          <w:rFonts w:hint="eastAsia" w:ascii="仿宋_GB2312" w:hAnsi="宋体" w:eastAsia="仿宋_GB2312"/>
          <w:sz w:val="32"/>
          <w:szCs w:val="32"/>
          <w:lang w:val="zh-CN"/>
        </w:rPr>
        <w:t>要求建立制作过程的档案记录，内容包括：原料来源、原料验收、制作日期、制作数量、操作者签名等，并妥善保存2年以上。</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六、国内同类标准制修订情况及与法律法规、强制性标准关系</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经查阅，与“柠檬鸭”相关的标准主要有《 DBS45 056—2018 食品安全地方标准 柠檬鸭》，该标准规定了柠檬鸭的术语和定义、产品分类、要求、食品添加剂、生产加工过程卫生要求、检验方法、检验规则、标签、标志、包装、运输、贮存和保质期。适用于以鲜、冻</w:t>
      </w:r>
      <w:r>
        <w:rPr>
          <w:rFonts w:hint="eastAsia" w:ascii="微软雅黑" w:hAnsi="微软雅黑" w:eastAsia="微软雅黑" w:cs="微软雅黑"/>
          <w:sz w:val="32"/>
          <w:szCs w:val="28"/>
        </w:rPr>
        <w:t>鴨</w:t>
      </w:r>
      <w:r>
        <w:rPr>
          <w:rFonts w:hint="eastAsia" w:ascii="仿宋_GB2312" w:hAnsi="仿宋_GB2312" w:eastAsia="仿宋_GB2312" w:cs="仿宋_GB2312"/>
          <w:sz w:val="32"/>
          <w:szCs w:val="28"/>
        </w:rPr>
        <w:t>为主要原料，配以腌制柠檬，添加或不添加鲜柠檬、食用盐、食用植物油、白酒或黄酒、生姜、葱、蒜、酱油、</w:t>
      </w:r>
      <w:r>
        <w:rPr>
          <w:rFonts w:hint="eastAsia" w:ascii="仿宋_GB2312" w:hAnsi="宋体" w:eastAsia="仿宋_GB2312"/>
          <w:sz w:val="32"/>
          <w:szCs w:val="28"/>
        </w:rPr>
        <w:t>食糖、酸辣椒或鲜辣椒、酸荞头等其他辅料，经焖煮、炒制、冷却、包装等工艺加工制成的具有特有风味的食品。该标准未对柠檬鸭的炒制过程提出要求，不能具体指导广西柠檬鸭的炒制，也未发现有与柠檬鸭炒制相关的标准。因此，制定团体标准《广西柠檬鸭炒制技术规程》，将填补广西柠檬鸭炒制技术空白。</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本标准的内容与现行的法律、法规及强制性标准无冲突，标准的编写符合GB/T 1.1—2020的要求。</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3" w:name="_Toc526940086"/>
      <w:r>
        <w:rPr>
          <w:rFonts w:hint="eastAsia" w:ascii="黑体" w:hAnsi="黑体" w:eastAsia="黑体" w:cs="仿宋_GB2312"/>
          <w:sz w:val="32"/>
          <w:szCs w:val="32"/>
        </w:rPr>
        <w:t>七、</w:t>
      </w:r>
      <w:bookmarkEnd w:id="3"/>
      <w:r>
        <w:rPr>
          <w:rFonts w:hint="eastAsia" w:ascii="黑体" w:hAnsi="黑体" w:eastAsia="黑体" w:cs="仿宋_GB2312"/>
          <w:sz w:val="32"/>
          <w:szCs w:val="32"/>
        </w:rPr>
        <w:t>重大分歧意见的处理经过和依据</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本标准研制过程中无重大分歧意见。</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八、自我承诺</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本标准内容与各项指标不低于强制性标准要求。</w:t>
      </w:r>
    </w:p>
    <w:p>
      <w:pPr>
        <w:spacing w:line="560" w:lineRule="exact"/>
        <w:rPr>
          <w:rFonts w:ascii="仿宋_GB2312" w:hAnsi="仿宋" w:eastAsia="仿宋_GB2312"/>
          <w:bCs/>
          <w:color w:val="000000"/>
          <w:sz w:val="36"/>
          <w:szCs w:val="32"/>
        </w:rPr>
      </w:pPr>
    </w:p>
    <w:p>
      <w:pPr>
        <w:wordWrap w:val="0"/>
        <w:spacing w:line="560" w:lineRule="exact"/>
        <w:jc w:val="right"/>
        <w:rPr>
          <w:rFonts w:ascii="仿宋_GB2312" w:hAnsi="宋体" w:eastAsia="仿宋_GB2312"/>
          <w:sz w:val="32"/>
          <w:szCs w:val="28"/>
        </w:rPr>
      </w:pPr>
      <w:r>
        <w:rPr>
          <w:rFonts w:hint="eastAsia" w:ascii="仿宋_GB2312" w:hAnsi="宋体" w:eastAsia="仿宋_GB2312"/>
          <w:sz w:val="32"/>
          <w:szCs w:val="28"/>
        </w:rPr>
        <w:t xml:space="preserve"> 团体标准《广西柠檬鸭炒制技术规程》</w:t>
      </w:r>
    </w:p>
    <w:p>
      <w:pPr>
        <w:wordWrap w:val="0"/>
        <w:spacing w:line="560" w:lineRule="exact"/>
        <w:jc w:val="right"/>
        <w:rPr>
          <w:rFonts w:ascii="仿宋_GB2312" w:hAnsi="宋体" w:eastAsia="仿宋_GB2312"/>
          <w:sz w:val="32"/>
          <w:szCs w:val="28"/>
        </w:rPr>
      </w:pPr>
      <w:r>
        <w:rPr>
          <w:rFonts w:hint="eastAsia" w:ascii="仿宋_GB2312" w:hAnsi="宋体" w:eastAsia="仿宋_GB2312"/>
          <w:sz w:val="32"/>
          <w:szCs w:val="28"/>
        </w:rPr>
        <w:t xml:space="preserve">标准编制工作组 </w:t>
      </w:r>
      <w:r>
        <w:rPr>
          <w:rFonts w:ascii="仿宋_GB2312" w:hAnsi="宋体" w:eastAsia="仿宋_GB2312"/>
          <w:sz w:val="32"/>
          <w:szCs w:val="28"/>
        </w:rPr>
        <w:t xml:space="preserve">        </w:t>
      </w:r>
    </w:p>
    <w:p>
      <w:pPr>
        <w:wordWrap w:val="0"/>
        <w:spacing w:line="560" w:lineRule="exact"/>
        <w:jc w:val="right"/>
        <w:rPr>
          <w:rFonts w:ascii="仿宋_GB2312" w:hAnsi="宋体" w:eastAsia="仿宋_GB2312"/>
          <w:color w:val="FF0000"/>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ascii="仿宋_GB2312" w:hAnsi="宋体" w:eastAsia="仿宋_GB2312"/>
          <w:sz w:val="32"/>
          <w:szCs w:val="28"/>
        </w:rPr>
        <w:t>4</w:t>
      </w:r>
      <w:r>
        <w:rPr>
          <w:rFonts w:hint="eastAsia" w:ascii="仿宋_GB2312" w:hAnsi="宋体" w:eastAsia="仿宋_GB2312"/>
          <w:sz w:val="32"/>
          <w:szCs w:val="28"/>
        </w:rPr>
        <w:t>月</w:t>
      </w:r>
      <w:r>
        <w:rPr>
          <w:rFonts w:ascii="仿宋_GB2312" w:hAnsi="宋体" w:eastAsia="仿宋_GB2312"/>
          <w:sz w:val="32"/>
          <w:szCs w:val="28"/>
        </w:rPr>
        <w:t>26</w:t>
      </w:r>
      <w:r>
        <w:rPr>
          <w:rFonts w:hint="eastAsia" w:ascii="仿宋_GB2312" w:hAnsi="宋体" w:eastAsia="仿宋_GB2312"/>
          <w:sz w:val="32"/>
          <w:szCs w:val="28"/>
        </w:rPr>
        <w:t xml:space="preserve">日    </w:t>
      </w:r>
      <w:r>
        <w:rPr>
          <w:rFonts w:hint="eastAsia" w:ascii="仿宋_GB2312" w:hAnsi="宋体" w:eastAsia="仿宋_GB2312"/>
          <w:color w:val="FF0000"/>
          <w:sz w:val="32"/>
          <w:szCs w:val="28"/>
        </w:rPr>
        <w:t xml:space="preserve">   </w:t>
      </w:r>
      <w:r>
        <w:rPr>
          <w:rFonts w:ascii="仿宋_GB2312" w:hAnsi="宋体" w:eastAsia="仿宋_GB2312"/>
          <w:color w:val="FF0000"/>
          <w:sz w:val="32"/>
          <w:szCs w:val="28"/>
        </w:rPr>
        <w:t xml:space="preserve"> </w:t>
      </w:r>
    </w:p>
    <w:sectPr>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pPr>
          <w:pStyle w:val="3"/>
          <w:jc w:val="center"/>
        </w:pPr>
        <w:r>
          <w:fldChar w:fldCharType="begin"/>
        </w:r>
        <w:r>
          <w:instrText xml:space="preserve">PAGE   \* MERGEFORMAT</w:instrText>
        </w:r>
        <w:r>
          <w:fldChar w:fldCharType="separate"/>
        </w:r>
        <w:r>
          <w:rPr>
            <w:lang w:val="zh-CN"/>
          </w:rPr>
          <w:t>8</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4"/>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20F0D74"/>
    <w:multiLevelType w:val="multilevel"/>
    <w:tmpl w:val="120F0D74"/>
    <w:lvl w:ilvl="0" w:tentative="0">
      <w:start w:val="1"/>
      <w:numFmt w:val="japaneseCounting"/>
      <w:lvlText w:val="（%1）"/>
      <w:lvlJc w:val="left"/>
      <w:pPr>
        <w:ind w:left="1005" w:hanging="10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BF583A"/>
    <w:multiLevelType w:val="multilevel"/>
    <w:tmpl w:val="1DBF583A"/>
    <w:lvl w:ilvl="0" w:tentative="0">
      <w:start w:val="1"/>
      <w:numFmt w:val="decimal"/>
      <w:pStyle w:val="2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6"/>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557C2AF5"/>
    <w:multiLevelType w:val="multilevel"/>
    <w:tmpl w:val="557C2AF5"/>
    <w:lvl w:ilvl="0" w:tentative="0">
      <w:start w:val="1"/>
      <w:numFmt w:val="decimal"/>
      <w:pStyle w:val="1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tentative="0">
      <w:start w:val="1"/>
      <w:numFmt w:val="decimal"/>
      <w:pStyle w:val="1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8"/>
  </w:num>
  <w:num w:numId="2">
    <w:abstractNumId w:val="6"/>
  </w:num>
  <w:num w:numId="3">
    <w:abstractNumId w:val="4"/>
  </w:num>
  <w:num w:numId="4">
    <w:abstractNumId w:val="0"/>
  </w:num>
  <w:num w:numId="5">
    <w:abstractNumId w:val="5"/>
  </w:num>
  <w:num w:numId="6">
    <w:abstractNumId w:val="3"/>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563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E0738"/>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77D03"/>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06D"/>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C2D44"/>
    <w:rsid w:val="003C483D"/>
    <w:rsid w:val="003C6F69"/>
    <w:rsid w:val="003D3AF0"/>
    <w:rsid w:val="003D48B6"/>
    <w:rsid w:val="003D51D0"/>
    <w:rsid w:val="003D5CB5"/>
    <w:rsid w:val="003D6E58"/>
    <w:rsid w:val="003E32AC"/>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17AC1"/>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0586"/>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5810"/>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601CF1"/>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02DA"/>
    <w:rsid w:val="006610FC"/>
    <w:rsid w:val="0066440C"/>
    <w:rsid w:val="00664832"/>
    <w:rsid w:val="006670DB"/>
    <w:rsid w:val="00667C57"/>
    <w:rsid w:val="0067586A"/>
    <w:rsid w:val="00680EEB"/>
    <w:rsid w:val="006811BF"/>
    <w:rsid w:val="00681C0F"/>
    <w:rsid w:val="00682D7C"/>
    <w:rsid w:val="00682FAD"/>
    <w:rsid w:val="0068494D"/>
    <w:rsid w:val="00690D6C"/>
    <w:rsid w:val="006926D3"/>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1B92"/>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6619C"/>
    <w:rsid w:val="007766A7"/>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4150"/>
    <w:rsid w:val="00805B1A"/>
    <w:rsid w:val="00812666"/>
    <w:rsid w:val="00816354"/>
    <w:rsid w:val="00825BEF"/>
    <w:rsid w:val="008275DE"/>
    <w:rsid w:val="0083025F"/>
    <w:rsid w:val="00831A4E"/>
    <w:rsid w:val="0083362B"/>
    <w:rsid w:val="00834158"/>
    <w:rsid w:val="00834F29"/>
    <w:rsid w:val="00837133"/>
    <w:rsid w:val="00843099"/>
    <w:rsid w:val="00844A63"/>
    <w:rsid w:val="00845B6B"/>
    <w:rsid w:val="0085555C"/>
    <w:rsid w:val="0085722C"/>
    <w:rsid w:val="00860076"/>
    <w:rsid w:val="00860653"/>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42EB"/>
    <w:rsid w:val="008A4E58"/>
    <w:rsid w:val="008A52E3"/>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7A4E"/>
    <w:rsid w:val="00987C57"/>
    <w:rsid w:val="0099188F"/>
    <w:rsid w:val="0099299D"/>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CD6"/>
    <w:rsid w:val="009D3D0A"/>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A61B5"/>
    <w:rsid w:val="00BB0ED6"/>
    <w:rsid w:val="00BB1C0A"/>
    <w:rsid w:val="00BB4376"/>
    <w:rsid w:val="00BB4A45"/>
    <w:rsid w:val="00BB4B74"/>
    <w:rsid w:val="00BB6FED"/>
    <w:rsid w:val="00BC41B2"/>
    <w:rsid w:val="00BC45B6"/>
    <w:rsid w:val="00BC4F9E"/>
    <w:rsid w:val="00BE0799"/>
    <w:rsid w:val="00BE26D9"/>
    <w:rsid w:val="00BF1119"/>
    <w:rsid w:val="00BF5510"/>
    <w:rsid w:val="00BF67D1"/>
    <w:rsid w:val="00C00C31"/>
    <w:rsid w:val="00C070A2"/>
    <w:rsid w:val="00C10D37"/>
    <w:rsid w:val="00C13A0F"/>
    <w:rsid w:val="00C14C4A"/>
    <w:rsid w:val="00C17E66"/>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C1221"/>
    <w:rsid w:val="00CC4EE7"/>
    <w:rsid w:val="00CD4CC6"/>
    <w:rsid w:val="00CD5C22"/>
    <w:rsid w:val="00CE363E"/>
    <w:rsid w:val="00CF1430"/>
    <w:rsid w:val="00CF1AE4"/>
    <w:rsid w:val="00D0046C"/>
    <w:rsid w:val="00D00979"/>
    <w:rsid w:val="00D01E3B"/>
    <w:rsid w:val="00D05480"/>
    <w:rsid w:val="00D06EEA"/>
    <w:rsid w:val="00D07A2F"/>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7757A"/>
    <w:rsid w:val="00D80F6F"/>
    <w:rsid w:val="00D820E3"/>
    <w:rsid w:val="00D9342C"/>
    <w:rsid w:val="00D944CB"/>
    <w:rsid w:val="00DA326B"/>
    <w:rsid w:val="00DA3BCE"/>
    <w:rsid w:val="00DA59FA"/>
    <w:rsid w:val="00DB1157"/>
    <w:rsid w:val="00DB295F"/>
    <w:rsid w:val="00DB29E4"/>
    <w:rsid w:val="00DB3826"/>
    <w:rsid w:val="00DB47DC"/>
    <w:rsid w:val="00DB4C76"/>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084D"/>
    <w:rsid w:val="00E1354A"/>
    <w:rsid w:val="00E161F8"/>
    <w:rsid w:val="00E26EE5"/>
    <w:rsid w:val="00E32815"/>
    <w:rsid w:val="00E33554"/>
    <w:rsid w:val="00E40596"/>
    <w:rsid w:val="00E40BA9"/>
    <w:rsid w:val="00E41B77"/>
    <w:rsid w:val="00E45EC3"/>
    <w:rsid w:val="00E47C4F"/>
    <w:rsid w:val="00E51C73"/>
    <w:rsid w:val="00E541A3"/>
    <w:rsid w:val="00E637BB"/>
    <w:rsid w:val="00E638C8"/>
    <w:rsid w:val="00E658DD"/>
    <w:rsid w:val="00E65D7E"/>
    <w:rsid w:val="00E70383"/>
    <w:rsid w:val="00E7427C"/>
    <w:rsid w:val="00E75592"/>
    <w:rsid w:val="00E75972"/>
    <w:rsid w:val="00E815D2"/>
    <w:rsid w:val="00E82204"/>
    <w:rsid w:val="00E8377B"/>
    <w:rsid w:val="00E83A77"/>
    <w:rsid w:val="00E877A9"/>
    <w:rsid w:val="00E8796C"/>
    <w:rsid w:val="00E90251"/>
    <w:rsid w:val="00E933C0"/>
    <w:rsid w:val="00E95115"/>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EF69B8"/>
    <w:rsid w:val="00F11F09"/>
    <w:rsid w:val="00F12E60"/>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037"/>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39E595D"/>
    <w:rsid w:val="070F07F6"/>
    <w:rsid w:val="08083403"/>
    <w:rsid w:val="09BE5E2A"/>
    <w:rsid w:val="0A091F73"/>
    <w:rsid w:val="0A8504E9"/>
    <w:rsid w:val="0D92619C"/>
    <w:rsid w:val="0F412CA9"/>
    <w:rsid w:val="0FD566D2"/>
    <w:rsid w:val="13B2170D"/>
    <w:rsid w:val="13B97480"/>
    <w:rsid w:val="14034EB5"/>
    <w:rsid w:val="14870494"/>
    <w:rsid w:val="15085E8C"/>
    <w:rsid w:val="15174F60"/>
    <w:rsid w:val="1556095A"/>
    <w:rsid w:val="167D7F24"/>
    <w:rsid w:val="17306AB5"/>
    <w:rsid w:val="17373F64"/>
    <w:rsid w:val="19A054D6"/>
    <w:rsid w:val="1B0717C8"/>
    <w:rsid w:val="1BE33681"/>
    <w:rsid w:val="21862EC6"/>
    <w:rsid w:val="237A2B2A"/>
    <w:rsid w:val="2C4F36F5"/>
    <w:rsid w:val="2D5F22BD"/>
    <w:rsid w:val="2FF37D11"/>
    <w:rsid w:val="3013049D"/>
    <w:rsid w:val="332C3D99"/>
    <w:rsid w:val="365875C5"/>
    <w:rsid w:val="39356049"/>
    <w:rsid w:val="3B4E60E4"/>
    <w:rsid w:val="3BFE2074"/>
    <w:rsid w:val="3F8C7277"/>
    <w:rsid w:val="3FA0222F"/>
    <w:rsid w:val="42D769B6"/>
    <w:rsid w:val="43233672"/>
    <w:rsid w:val="44F600D3"/>
    <w:rsid w:val="45617704"/>
    <w:rsid w:val="48B048DB"/>
    <w:rsid w:val="4B8C0594"/>
    <w:rsid w:val="4C0F7B1B"/>
    <w:rsid w:val="4CFE380A"/>
    <w:rsid w:val="4D862B8C"/>
    <w:rsid w:val="4DFF35F5"/>
    <w:rsid w:val="4EF47599"/>
    <w:rsid w:val="4FE3578A"/>
    <w:rsid w:val="54E94B5B"/>
    <w:rsid w:val="55661639"/>
    <w:rsid w:val="55761622"/>
    <w:rsid w:val="5BD857FA"/>
    <w:rsid w:val="5C080481"/>
    <w:rsid w:val="5E202145"/>
    <w:rsid w:val="5F621BCD"/>
    <w:rsid w:val="6031647B"/>
    <w:rsid w:val="62F74A7A"/>
    <w:rsid w:val="668E2223"/>
    <w:rsid w:val="683026D9"/>
    <w:rsid w:val="693F388B"/>
    <w:rsid w:val="6DBA21A1"/>
    <w:rsid w:val="73731F46"/>
    <w:rsid w:val="78AF3D07"/>
    <w:rsid w:val="7AF5051C"/>
    <w:rsid w:val="7BBA680A"/>
    <w:rsid w:val="7BE826AE"/>
    <w:rsid w:val="7CCF532E"/>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35"/>
    <w:autoRedefine/>
    <w:semiHidden/>
    <w:unhideWhenUsed/>
    <w:qFormat/>
    <w:uiPriority w:val="0"/>
    <w:rPr>
      <w:sz w:val="18"/>
      <w:szCs w:val="18"/>
    </w:rPr>
  </w:style>
  <w:style w:type="paragraph" w:styleId="3">
    <w:name w:val="footer"/>
    <w:basedOn w:val="1"/>
    <w:link w:val="27"/>
    <w:autoRedefine/>
    <w:qFormat/>
    <w:uiPriority w:val="99"/>
    <w:pPr>
      <w:tabs>
        <w:tab w:val="center" w:pos="4153"/>
        <w:tab w:val="right" w:pos="8306"/>
      </w:tabs>
      <w:snapToGrid w:val="0"/>
      <w:jc w:val="left"/>
    </w:pPr>
    <w:rPr>
      <w:sz w:val="18"/>
      <w:szCs w:val="18"/>
    </w:rPr>
  </w:style>
  <w:style w:type="paragraph" w:styleId="4">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99"/>
    <w:pPr>
      <w:spacing w:before="100" w:beforeAutospacing="1" w:after="100" w:afterAutospacing="1"/>
      <w:jc w:val="left"/>
    </w:pPr>
    <w:rPr>
      <w:kern w:val="0"/>
      <w:sz w:val="24"/>
    </w:rPr>
  </w:style>
  <w:style w:type="table" w:styleId="7">
    <w:name w:val="Table Grid"/>
    <w:basedOn w:val="6"/>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autoRedefine/>
    <w:unhideWhenUsed/>
    <w:qFormat/>
    <w:uiPriority w:val="99"/>
    <w:rPr>
      <w:color w:val="0000FF"/>
      <w:u w:val="single"/>
    </w:rPr>
  </w:style>
  <w:style w:type="paragraph" w:customStyle="1" w:styleId="10">
    <w:name w:val="段"/>
    <w:link w:val="25"/>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正文表标题"/>
    <w:next w:val="10"/>
    <w:autoRedefine/>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2">
    <w:name w:val="正文图标题"/>
    <w:next w:val="10"/>
    <w:autoRedefine/>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其他发布日期"/>
    <w:basedOn w:val="1"/>
    <w:autoRedefine/>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4">
    <w:name w:val="一级条标题"/>
    <w:next w:val="10"/>
    <w:autoRedefine/>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5">
    <w:name w:val="章标题"/>
    <w:next w:val="10"/>
    <w:autoRedefine/>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6">
    <w:name w:val="二级条标题"/>
    <w:basedOn w:val="14"/>
    <w:next w:val="10"/>
    <w:autoRedefine/>
    <w:qFormat/>
    <w:uiPriority w:val="0"/>
    <w:pPr>
      <w:numPr>
        <w:ilvl w:val="2"/>
      </w:numPr>
      <w:spacing w:before="50" w:after="50"/>
      <w:outlineLvl w:val="3"/>
    </w:pPr>
  </w:style>
  <w:style w:type="paragraph" w:customStyle="1" w:styleId="17">
    <w:name w:val="三级条标题"/>
    <w:basedOn w:val="16"/>
    <w:next w:val="10"/>
    <w:autoRedefine/>
    <w:qFormat/>
    <w:uiPriority w:val="0"/>
    <w:pPr>
      <w:numPr>
        <w:ilvl w:val="3"/>
      </w:numPr>
      <w:outlineLvl w:val="4"/>
    </w:pPr>
  </w:style>
  <w:style w:type="paragraph" w:customStyle="1" w:styleId="18">
    <w:name w:val="四级条标题"/>
    <w:basedOn w:val="17"/>
    <w:next w:val="10"/>
    <w:autoRedefine/>
    <w:qFormat/>
    <w:uiPriority w:val="0"/>
    <w:pPr>
      <w:numPr>
        <w:ilvl w:val="4"/>
      </w:numPr>
      <w:outlineLvl w:val="5"/>
    </w:pPr>
  </w:style>
  <w:style w:type="paragraph" w:customStyle="1" w:styleId="19">
    <w:name w:val="五级条标题"/>
    <w:basedOn w:val="18"/>
    <w:next w:val="10"/>
    <w:autoRedefine/>
    <w:qFormat/>
    <w:uiPriority w:val="0"/>
    <w:pPr>
      <w:numPr>
        <w:ilvl w:val="5"/>
      </w:numPr>
      <w:outlineLvl w:val="6"/>
    </w:pPr>
  </w:style>
  <w:style w:type="paragraph" w:customStyle="1" w:styleId="20">
    <w:name w:val="注："/>
    <w:next w:val="10"/>
    <w:autoRedefine/>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1">
    <w:name w:val="附录图标号"/>
    <w:basedOn w:val="1"/>
    <w:autoRedefine/>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2">
    <w:name w:val="附录图标题"/>
    <w:basedOn w:val="1"/>
    <w:next w:val="10"/>
    <w:autoRedefine/>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3">
    <w:name w:val="注×：（正文）"/>
    <w:autoRedefine/>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4">
    <w:name w:val="图表脚注说明"/>
    <w:basedOn w:val="1"/>
    <w:autoRedefine/>
    <w:qFormat/>
    <w:uiPriority w:val="0"/>
    <w:pPr>
      <w:numPr>
        <w:ilvl w:val="0"/>
        <w:numId w:val="7"/>
      </w:numPr>
    </w:pPr>
    <w:rPr>
      <w:rFonts w:ascii="宋体"/>
      <w:sz w:val="18"/>
      <w:szCs w:val="18"/>
    </w:rPr>
  </w:style>
  <w:style w:type="character" w:customStyle="1" w:styleId="25">
    <w:name w:val="段 Char"/>
    <w:basedOn w:val="8"/>
    <w:link w:val="10"/>
    <w:autoRedefine/>
    <w:qFormat/>
    <w:uiPriority w:val="0"/>
    <w:rPr>
      <w:rFonts w:ascii="宋体"/>
      <w:sz w:val="21"/>
      <w:lang w:val="en-US" w:eastAsia="zh-CN" w:bidi="ar-SA"/>
    </w:rPr>
  </w:style>
  <w:style w:type="character" w:customStyle="1" w:styleId="26">
    <w:name w:val="页眉 字符"/>
    <w:basedOn w:val="8"/>
    <w:link w:val="4"/>
    <w:autoRedefine/>
    <w:qFormat/>
    <w:uiPriority w:val="0"/>
    <w:rPr>
      <w:kern w:val="2"/>
      <w:sz w:val="18"/>
      <w:szCs w:val="18"/>
    </w:rPr>
  </w:style>
  <w:style w:type="character" w:customStyle="1" w:styleId="27">
    <w:name w:val="页脚 字符"/>
    <w:basedOn w:val="8"/>
    <w:link w:val="3"/>
    <w:autoRedefine/>
    <w:qFormat/>
    <w:uiPriority w:val="99"/>
    <w:rPr>
      <w:kern w:val="2"/>
      <w:sz w:val="18"/>
      <w:szCs w:val="18"/>
    </w:rPr>
  </w:style>
  <w:style w:type="paragraph" w:customStyle="1" w:styleId="28">
    <w:name w:val="附录表标题"/>
    <w:basedOn w:val="1"/>
    <w:next w:val="10"/>
    <w:autoRedefine/>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29">
    <w:name w:val="List Paragraph"/>
    <w:basedOn w:val="1"/>
    <w:autoRedefine/>
    <w:unhideWhenUsed/>
    <w:qFormat/>
    <w:uiPriority w:val="34"/>
    <w:pPr>
      <w:ind w:firstLine="420" w:firstLineChars="200"/>
    </w:pPr>
  </w:style>
  <w:style w:type="paragraph" w:customStyle="1" w:styleId="3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31">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2">
    <w:name w:val="发布"/>
    <w:autoRedefine/>
    <w:qFormat/>
    <w:uiPriority w:val="0"/>
    <w:rPr>
      <w:rFonts w:ascii="黑体" w:eastAsia="黑体"/>
      <w:spacing w:val="22"/>
      <w:w w:val="100"/>
      <w:position w:val="3"/>
      <w:sz w:val="28"/>
    </w:rPr>
  </w:style>
  <w:style w:type="paragraph" w:customStyle="1" w:styleId="33">
    <w:name w:val="其他发布部门"/>
    <w:basedOn w:val="1"/>
    <w:autoRedefine/>
    <w:qFormat/>
    <w:uiPriority w:val="0"/>
    <w:pPr>
      <w:widowControl/>
      <w:spacing w:line="0" w:lineRule="atLeast"/>
      <w:jc w:val="center"/>
    </w:pPr>
    <w:rPr>
      <w:rFonts w:ascii="黑体" w:eastAsia="黑体"/>
      <w:spacing w:val="20"/>
      <w:w w:val="135"/>
      <w:kern w:val="0"/>
      <w:sz w:val="36"/>
      <w:szCs w:val="20"/>
    </w:rPr>
  </w:style>
  <w:style w:type="paragraph" w:customStyle="1" w:styleId="34">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批注框文本 字符"/>
    <w:basedOn w:val="8"/>
    <w:link w:val="2"/>
    <w:autoRedefine/>
    <w:semiHidden/>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09E0A8-8917-45E3-B91B-75DB299A630C}">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21</Pages>
  <Words>8661</Words>
  <Characters>1739</Characters>
  <Lines>14</Lines>
  <Paragraphs>20</Paragraphs>
  <TotalTime>75</TotalTime>
  <ScaleCrop>false</ScaleCrop>
  <LinksUpToDate>false</LinksUpToDate>
  <CharactersWithSpaces>10380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2024-04-29T23:39:00Z</dcterms:created>
  <dc:creator>USER</dc:creator>
  <cp:lastModifiedBy>誰念誰川</cp:lastModifiedBy>
  <cp:lastPrinted>2019-07-10T11:21:00Z</cp:lastPrinted>
  <dcterms:modified xsi:type="dcterms:W3CDTF">2024-05-08T02:31:30Z</dcterms:modified>
  <dc:title>广西地方标准《脱氢枞酸》（征求意见稿）</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484DF7F1BEB842158BCD0584349217B5</vt:lpwstr>
  </property>
</Properties>
</file>